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EFE" w:rsidRPr="00884FF2" w:rsidRDefault="00DF7EFE" w:rsidP="00533B8C">
      <w:pPr>
        <w:rPr>
          <w:sz w:val="28"/>
          <w:szCs w:val="28"/>
        </w:rPr>
      </w:pPr>
    </w:p>
    <w:p w:rsidR="00AB7286" w:rsidRPr="00884FF2" w:rsidRDefault="009D314B" w:rsidP="00AB7286">
      <w:pPr>
        <w:pStyle w:val="Heading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2"/>
          <w:lang w:val="en-US"/>
        </w:rPr>
      </w:pPr>
      <w:r w:rsidRPr="00884FF2">
        <w:rPr>
          <w:rFonts w:ascii="Times New Roman" w:hAnsi="Times New Roman"/>
          <w:noProof/>
          <w:sz w:val="32"/>
        </w:rPr>
        <w:drawing>
          <wp:inline distT="0" distB="0" distL="0" distR="0">
            <wp:extent cx="685800" cy="914400"/>
            <wp:effectExtent l="0" t="0" r="0" b="0"/>
            <wp:docPr id="1" name="Рисунок 1" descr="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7286" w:rsidRPr="00884FF2" w:rsidRDefault="00AB7286" w:rsidP="00AB7286">
      <w:pPr>
        <w:rPr>
          <w:lang w:val="en-US"/>
        </w:rPr>
      </w:pP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Ханты-Мансийский автономный округ-Югра</w:t>
      </w: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муниципальное образование</w:t>
      </w: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городской округ город Пыть-Ях</w:t>
      </w:r>
    </w:p>
    <w:p w:rsidR="00AB7286" w:rsidRPr="00884FF2" w:rsidRDefault="00AB7286" w:rsidP="00AB7286">
      <w:pPr>
        <w:pStyle w:val="Heading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6"/>
          <w:szCs w:val="36"/>
        </w:rPr>
      </w:pPr>
      <w:r w:rsidRPr="00884FF2">
        <w:rPr>
          <w:rFonts w:ascii="Times New Roman" w:hAnsi="Times New Roman"/>
          <w:sz w:val="36"/>
          <w:szCs w:val="36"/>
        </w:rPr>
        <w:t>АДМИНИСТРАЦИЯ ГОРОДА</w:t>
      </w:r>
    </w:p>
    <w:p w:rsidR="00AB7286" w:rsidRPr="00884FF2" w:rsidRDefault="00AB7286" w:rsidP="00AB7286">
      <w:pPr>
        <w:jc w:val="center"/>
        <w:rPr>
          <w:sz w:val="36"/>
          <w:szCs w:val="36"/>
        </w:rPr>
      </w:pP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Р А С П О Р Я Ж Е Н И Е</w:t>
      </w:r>
    </w:p>
    <w:p w:rsidR="009C002B" w:rsidRPr="00884FF2" w:rsidRDefault="009C002B" w:rsidP="00E709BD">
      <w:pPr>
        <w:pStyle w:val="BodyText"/>
        <w:jc w:val="both"/>
        <w:rPr>
          <w:b w:val="0"/>
          <w:sz w:val="28"/>
          <w:szCs w:val="28"/>
        </w:rPr>
      </w:pPr>
    </w:p>
    <w:p w:rsidR="00E626B1" w:rsidRPr="00884FF2" w:rsidRDefault="0027156E" w:rsidP="00E709BD">
      <w:pPr>
        <w:pStyle w:val="BodyText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От 04.09.2019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>№ 2050-ра</w:t>
      </w:r>
    </w:p>
    <w:p w:rsidR="00CB0F06" w:rsidRPr="00884FF2" w:rsidRDefault="00CB0F06" w:rsidP="00E709BD">
      <w:pPr>
        <w:pStyle w:val="BodyText"/>
        <w:jc w:val="both"/>
        <w:rPr>
          <w:b w:val="0"/>
          <w:sz w:val="28"/>
          <w:szCs w:val="28"/>
        </w:rPr>
      </w:pPr>
    </w:p>
    <w:p w:rsidR="00E709BD" w:rsidRPr="00884FF2" w:rsidRDefault="00E709BD" w:rsidP="00E709BD">
      <w:pPr>
        <w:pStyle w:val="BodyText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>О</w:t>
      </w:r>
      <w:r w:rsidR="00BC4AB1">
        <w:rPr>
          <w:b w:val="0"/>
          <w:sz w:val="28"/>
          <w:szCs w:val="28"/>
        </w:rPr>
        <w:t xml:space="preserve"> </w:t>
      </w:r>
      <w:r w:rsidR="00053975" w:rsidRPr="00884FF2">
        <w:rPr>
          <w:b w:val="0"/>
          <w:sz w:val="28"/>
          <w:szCs w:val="28"/>
        </w:rPr>
        <w:t>п</w:t>
      </w:r>
      <w:r w:rsidR="00BC4AB1">
        <w:rPr>
          <w:b w:val="0"/>
          <w:sz w:val="28"/>
          <w:szCs w:val="28"/>
        </w:rPr>
        <w:t>рогнозе</w:t>
      </w:r>
      <w:r w:rsidR="00053975" w:rsidRPr="00884FF2">
        <w:rPr>
          <w:b w:val="0"/>
          <w:sz w:val="28"/>
          <w:szCs w:val="28"/>
        </w:rPr>
        <w:t xml:space="preserve"> </w:t>
      </w:r>
      <w:r w:rsidRPr="00884FF2">
        <w:rPr>
          <w:b w:val="0"/>
          <w:sz w:val="28"/>
          <w:szCs w:val="28"/>
        </w:rPr>
        <w:t xml:space="preserve">социально-экономического </w:t>
      </w:r>
    </w:p>
    <w:p w:rsidR="00E709BD" w:rsidRPr="00884FF2" w:rsidRDefault="00E709BD" w:rsidP="00E709BD">
      <w:pPr>
        <w:pStyle w:val="BodyText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>развития муниципального о</w:t>
      </w:r>
      <w:bookmarkStart w:id="0" w:name="_GoBack"/>
      <w:bookmarkEnd w:id="0"/>
      <w:r w:rsidRPr="00884FF2">
        <w:rPr>
          <w:b w:val="0"/>
          <w:sz w:val="28"/>
          <w:szCs w:val="28"/>
        </w:rPr>
        <w:t xml:space="preserve">бразования </w:t>
      </w:r>
    </w:p>
    <w:p w:rsidR="00053975" w:rsidRPr="00884FF2" w:rsidRDefault="00E709BD" w:rsidP="00E709BD">
      <w:pPr>
        <w:pStyle w:val="BodyText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городской округ город Пыть-Ях </w:t>
      </w:r>
    </w:p>
    <w:p w:rsidR="00053975" w:rsidRPr="00884FF2" w:rsidRDefault="00857CEB" w:rsidP="00E709BD">
      <w:pPr>
        <w:pStyle w:val="BodyText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на </w:t>
      </w:r>
      <w:r w:rsidR="00891F06" w:rsidRPr="00884FF2">
        <w:rPr>
          <w:b w:val="0"/>
          <w:sz w:val="28"/>
          <w:szCs w:val="28"/>
        </w:rPr>
        <w:t>20</w:t>
      </w:r>
      <w:r w:rsidR="0037736A">
        <w:rPr>
          <w:b w:val="0"/>
          <w:sz w:val="28"/>
          <w:szCs w:val="28"/>
        </w:rPr>
        <w:t>20</w:t>
      </w:r>
      <w:r w:rsidR="00891F06" w:rsidRPr="00884FF2">
        <w:rPr>
          <w:b w:val="0"/>
          <w:sz w:val="28"/>
          <w:szCs w:val="28"/>
        </w:rPr>
        <w:t xml:space="preserve"> год</w:t>
      </w:r>
      <w:r w:rsidR="002D0477" w:rsidRPr="00884FF2">
        <w:rPr>
          <w:b w:val="0"/>
          <w:sz w:val="28"/>
          <w:szCs w:val="28"/>
        </w:rPr>
        <w:t xml:space="preserve"> и </w:t>
      </w:r>
      <w:r w:rsidR="00E709BD" w:rsidRPr="00884FF2">
        <w:rPr>
          <w:b w:val="0"/>
          <w:sz w:val="28"/>
          <w:szCs w:val="28"/>
        </w:rPr>
        <w:t xml:space="preserve">плановый период </w:t>
      </w:r>
    </w:p>
    <w:p w:rsidR="00E709BD" w:rsidRPr="00884FF2" w:rsidRDefault="00891F06" w:rsidP="00E709BD">
      <w:pPr>
        <w:pStyle w:val="BodyText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до </w:t>
      </w:r>
      <w:r w:rsidR="00114E35" w:rsidRPr="00884FF2">
        <w:rPr>
          <w:b w:val="0"/>
          <w:sz w:val="28"/>
          <w:szCs w:val="28"/>
        </w:rPr>
        <w:t>20</w:t>
      </w:r>
      <w:r w:rsidRPr="00884FF2">
        <w:rPr>
          <w:b w:val="0"/>
          <w:sz w:val="28"/>
          <w:szCs w:val="28"/>
        </w:rPr>
        <w:t>24 года</w:t>
      </w:r>
    </w:p>
    <w:p w:rsidR="00E709BD" w:rsidRPr="00884FF2" w:rsidRDefault="00E709BD" w:rsidP="00053975">
      <w:pPr>
        <w:pStyle w:val="BodyText"/>
        <w:ind w:firstLine="709"/>
        <w:jc w:val="both"/>
        <w:rPr>
          <w:b w:val="0"/>
          <w:sz w:val="28"/>
          <w:szCs w:val="28"/>
        </w:rPr>
      </w:pPr>
    </w:p>
    <w:p w:rsidR="00E709BD" w:rsidRPr="00884FF2" w:rsidRDefault="00E709BD" w:rsidP="00053975">
      <w:pPr>
        <w:pStyle w:val="BodyText"/>
        <w:ind w:firstLine="709"/>
        <w:jc w:val="both"/>
        <w:rPr>
          <w:b w:val="0"/>
          <w:sz w:val="28"/>
          <w:szCs w:val="28"/>
        </w:rPr>
      </w:pPr>
    </w:p>
    <w:p w:rsidR="00E709BD" w:rsidRPr="00884FF2" w:rsidRDefault="00E709BD" w:rsidP="00053975">
      <w:pPr>
        <w:pStyle w:val="BodyText"/>
        <w:ind w:firstLine="709"/>
        <w:jc w:val="both"/>
        <w:rPr>
          <w:b w:val="0"/>
          <w:sz w:val="28"/>
          <w:szCs w:val="28"/>
        </w:rPr>
      </w:pPr>
    </w:p>
    <w:p w:rsidR="00BC4AB1" w:rsidRDefault="00E709BD" w:rsidP="00E709BD">
      <w:pPr>
        <w:pStyle w:val="BodyText"/>
        <w:spacing w:line="360" w:lineRule="auto"/>
        <w:ind w:firstLine="709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В соответствии с постановлением администрации города от </w:t>
      </w:r>
      <w:r w:rsidR="00BC4AB1">
        <w:rPr>
          <w:b w:val="0"/>
          <w:sz w:val="28"/>
          <w:szCs w:val="28"/>
        </w:rPr>
        <w:t xml:space="preserve">14.07.2014 №175-па «О </w:t>
      </w:r>
      <w:r w:rsidRPr="00884FF2">
        <w:rPr>
          <w:b w:val="0"/>
          <w:sz w:val="28"/>
          <w:szCs w:val="28"/>
        </w:rPr>
        <w:t xml:space="preserve">порядке </w:t>
      </w:r>
      <w:r w:rsidR="00BC4AB1">
        <w:rPr>
          <w:b w:val="0"/>
          <w:sz w:val="28"/>
          <w:szCs w:val="28"/>
        </w:rPr>
        <w:t>составления проекта решения о бюджете муниципального образования на очередной финансовый год и плановый период»:</w:t>
      </w:r>
    </w:p>
    <w:p w:rsidR="00053975" w:rsidRPr="00884FF2" w:rsidRDefault="00053975" w:rsidP="00053975">
      <w:pPr>
        <w:pStyle w:val="BodyText"/>
        <w:ind w:left="709" w:hanging="709"/>
        <w:jc w:val="both"/>
        <w:rPr>
          <w:b w:val="0"/>
          <w:sz w:val="28"/>
          <w:szCs w:val="28"/>
        </w:rPr>
      </w:pPr>
    </w:p>
    <w:p w:rsidR="00053975" w:rsidRDefault="00053975" w:rsidP="00053975">
      <w:pPr>
        <w:pStyle w:val="BodyText"/>
        <w:ind w:left="709" w:hanging="709"/>
        <w:jc w:val="both"/>
        <w:rPr>
          <w:b w:val="0"/>
          <w:sz w:val="28"/>
          <w:szCs w:val="28"/>
        </w:rPr>
      </w:pPr>
    </w:p>
    <w:p w:rsidR="00216681" w:rsidRPr="00884FF2" w:rsidRDefault="00216681" w:rsidP="00053975">
      <w:pPr>
        <w:pStyle w:val="BodyText"/>
        <w:ind w:left="709" w:hanging="709"/>
        <w:jc w:val="both"/>
        <w:rPr>
          <w:b w:val="0"/>
          <w:sz w:val="28"/>
          <w:szCs w:val="28"/>
        </w:rPr>
      </w:pPr>
    </w:p>
    <w:p w:rsidR="00E709BD" w:rsidRPr="00884FF2" w:rsidRDefault="00B15D81" w:rsidP="00053975">
      <w:pPr>
        <w:pStyle w:val="BodyText"/>
        <w:numPr>
          <w:ilvl w:val="0"/>
          <w:numId w:val="18"/>
        </w:numPr>
        <w:tabs>
          <w:tab w:val="clear" w:pos="720"/>
          <w:tab w:val="num" w:pos="0"/>
        </w:tabs>
        <w:spacing w:line="360" w:lineRule="auto"/>
        <w:ind w:left="0"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Одобрить прогноз</w:t>
      </w:r>
      <w:r w:rsidR="00E709BD" w:rsidRPr="00884FF2">
        <w:rPr>
          <w:b w:val="0"/>
          <w:sz w:val="28"/>
          <w:szCs w:val="28"/>
        </w:rPr>
        <w:t xml:space="preserve"> социально-экономического развития муниципального образования город</w:t>
      </w:r>
      <w:r w:rsidR="00114E35" w:rsidRPr="00884FF2">
        <w:rPr>
          <w:b w:val="0"/>
          <w:sz w:val="28"/>
          <w:szCs w:val="28"/>
        </w:rPr>
        <w:t>ской округ город Пыть-Ях на 20</w:t>
      </w:r>
      <w:r w:rsidR="0037736A">
        <w:rPr>
          <w:b w:val="0"/>
          <w:sz w:val="28"/>
          <w:szCs w:val="28"/>
        </w:rPr>
        <w:t>20</w:t>
      </w:r>
      <w:r w:rsidR="00C2585F" w:rsidRPr="00884FF2">
        <w:rPr>
          <w:b w:val="0"/>
          <w:sz w:val="28"/>
          <w:szCs w:val="28"/>
        </w:rPr>
        <w:t xml:space="preserve"> год и плановый период до </w:t>
      </w:r>
      <w:r w:rsidR="00114E35" w:rsidRPr="00884FF2">
        <w:rPr>
          <w:b w:val="0"/>
          <w:sz w:val="28"/>
          <w:szCs w:val="28"/>
        </w:rPr>
        <w:t>20</w:t>
      </w:r>
      <w:r w:rsidR="00C2585F" w:rsidRPr="00884FF2">
        <w:rPr>
          <w:b w:val="0"/>
          <w:sz w:val="28"/>
          <w:szCs w:val="28"/>
        </w:rPr>
        <w:t>24 года</w:t>
      </w:r>
      <w:r>
        <w:rPr>
          <w:b w:val="0"/>
          <w:sz w:val="28"/>
          <w:szCs w:val="28"/>
        </w:rPr>
        <w:t>, согласно приложениям №№1,2</w:t>
      </w:r>
      <w:r w:rsidR="00E709BD" w:rsidRPr="00884FF2">
        <w:rPr>
          <w:b w:val="0"/>
          <w:sz w:val="28"/>
          <w:szCs w:val="28"/>
        </w:rPr>
        <w:t>.</w:t>
      </w:r>
    </w:p>
    <w:p w:rsidR="003E47FF" w:rsidRDefault="002824DD" w:rsidP="00053975">
      <w:pPr>
        <w:pStyle w:val="BodyText"/>
        <w:numPr>
          <w:ilvl w:val="0"/>
          <w:numId w:val="18"/>
        </w:numPr>
        <w:tabs>
          <w:tab w:val="clear" w:pos="720"/>
          <w:tab w:val="num" w:pos="0"/>
        </w:tabs>
        <w:spacing w:line="360" w:lineRule="auto"/>
        <w:ind w:left="0"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Управлению </w:t>
      </w:r>
      <w:r w:rsidR="003E47FF">
        <w:rPr>
          <w:b w:val="0"/>
          <w:sz w:val="28"/>
          <w:szCs w:val="28"/>
        </w:rPr>
        <w:t xml:space="preserve">по экономике (С.В. Маслак) направить прогноз </w:t>
      </w:r>
      <w:r w:rsidR="003E47FF" w:rsidRPr="00884FF2">
        <w:rPr>
          <w:b w:val="0"/>
          <w:sz w:val="28"/>
          <w:szCs w:val="28"/>
        </w:rPr>
        <w:t>социально-экономического развития муниципального образования городской округ город Пыть-Ях на 2019 год и плановый период до 2024 года</w:t>
      </w:r>
      <w:r w:rsidR="003E47FF">
        <w:rPr>
          <w:b w:val="0"/>
          <w:sz w:val="28"/>
          <w:szCs w:val="28"/>
        </w:rPr>
        <w:t xml:space="preserve"> в Думу города одновременно с проектом бюджета на 20</w:t>
      </w:r>
      <w:r w:rsidR="0037736A">
        <w:rPr>
          <w:b w:val="0"/>
          <w:sz w:val="28"/>
          <w:szCs w:val="28"/>
        </w:rPr>
        <w:t>20 год и плановый период 2021 2022</w:t>
      </w:r>
      <w:r w:rsidR="003E47FF">
        <w:rPr>
          <w:b w:val="0"/>
          <w:sz w:val="28"/>
          <w:szCs w:val="28"/>
        </w:rPr>
        <w:t xml:space="preserve"> годов.</w:t>
      </w:r>
    </w:p>
    <w:p w:rsidR="00E709BD" w:rsidRPr="00884FF2" w:rsidRDefault="00E709BD" w:rsidP="00053975">
      <w:pPr>
        <w:pStyle w:val="BodyText"/>
        <w:numPr>
          <w:ilvl w:val="0"/>
          <w:numId w:val="18"/>
        </w:numPr>
        <w:tabs>
          <w:tab w:val="clear" w:pos="720"/>
          <w:tab w:val="num" w:pos="0"/>
        </w:tabs>
        <w:spacing w:line="360" w:lineRule="auto"/>
        <w:ind w:left="0" w:firstLine="540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lastRenderedPageBreak/>
        <w:t>Контроль за выполнением распоряжения возложить на</w:t>
      </w:r>
      <w:r w:rsidR="00F864C4" w:rsidRPr="00884FF2">
        <w:rPr>
          <w:b w:val="0"/>
          <w:sz w:val="28"/>
          <w:szCs w:val="28"/>
        </w:rPr>
        <w:t xml:space="preserve"> заместителя </w:t>
      </w:r>
      <w:r w:rsidR="00C2585F" w:rsidRPr="00884FF2">
        <w:rPr>
          <w:b w:val="0"/>
          <w:sz w:val="28"/>
          <w:szCs w:val="28"/>
        </w:rPr>
        <w:t>главы города</w:t>
      </w:r>
      <w:r w:rsidR="00E626B1" w:rsidRPr="00884FF2">
        <w:rPr>
          <w:b w:val="0"/>
          <w:sz w:val="28"/>
          <w:szCs w:val="28"/>
        </w:rPr>
        <w:t xml:space="preserve"> </w:t>
      </w:r>
      <w:r w:rsidRPr="00884FF2">
        <w:rPr>
          <w:b w:val="0"/>
          <w:sz w:val="28"/>
          <w:szCs w:val="28"/>
        </w:rPr>
        <w:t>– председателя к</w:t>
      </w:r>
      <w:r w:rsidR="00216681">
        <w:rPr>
          <w:b w:val="0"/>
          <w:sz w:val="28"/>
          <w:szCs w:val="28"/>
        </w:rPr>
        <w:t>омитета по финансам</w:t>
      </w:r>
      <w:r w:rsidRPr="00884FF2">
        <w:rPr>
          <w:b w:val="0"/>
          <w:sz w:val="28"/>
          <w:szCs w:val="28"/>
        </w:rPr>
        <w:t>.</w:t>
      </w:r>
    </w:p>
    <w:p w:rsidR="00E709BD" w:rsidRPr="00884FF2" w:rsidRDefault="00E709BD" w:rsidP="00053975">
      <w:pPr>
        <w:pStyle w:val="BodyText"/>
        <w:jc w:val="both"/>
        <w:rPr>
          <w:b w:val="0"/>
          <w:sz w:val="28"/>
          <w:szCs w:val="28"/>
        </w:rPr>
      </w:pPr>
    </w:p>
    <w:p w:rsidR="00D34954" w:rsidRPr="00884FF2" w:rsidRDefault="00D34954" w:rsidP="00053975">
      <w:pPr>
        <w:rPr>
          <w:sz w:val="28"/>
          <w:szCs w:val="28"/>
        </w:rPr>
      </w:pPr>
    </w:p>
    <w:p w:rsidR="00D34954" w:rsidRPr="00884FF2" w:rsidRDefault="00D34954" w:rsidP="00053975">
      <w:pPr>
        <w:rPr>
          <w:sz w:val="28"/>
          <w:szCs w:val="28"/>
        </w:rPr>
      </w:pPr>
    </w:p>
    <w:p w:rsidR="00003EA8" w:rsidRPr="00884FF2" w:rsidRDefault="0037736A" w:rsidP="00003EA8">
      <w:pPr>
        <w:pStyle w:val="Footer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E626B1" w:rsidRPr="00884FF2">
        <w:rPr>
          <w:sz w:val="28"/>
          <w:szCs w:val="28"/>
        </w:rPr>
        <w:t xml:space="preserve"> </w:t>
      </w:r>
      <w:r w:rsidR="00C2585F" w:rsidRPr="00884FF2">
        <w:rPr>
          <w:sz w:val="28"/>
          <w:szCs w:val="28"/>
        </w:rPr>
        <w:t>города Пыть-Яха</w:t>
      </w:r>
      <w:r w:rsidR="00C2585F" w:rsidRPr="00884FF2">
        <w:rPr>
          <w:sz w:val="28"/>
          <w:szCs w:val="28"/>
        </w:rPr>
        <w:tab/>
        <w:t xml:space="preserve">                                                                 А.Н. Морозов</w:t>
      </w:r>
    </w:p>
    <w:p w:rsidR="00AB1AA0" w:rsidRPr="00884FF2" w:rsidRDefault="00AB1AA0" w:rsidP="00003EA8">
      <w:pPr>
        <w:pStyle w:val="Footer"/>
        <w:rPr>
          <w:sz w:val="28"/>
          <w:szCs w:val="28"/>
        </w:rPr>
      </w:pPr>
    </w:p>
    <w:p w:rsidR="00AB1AA0" w:rsidRPr="00884FF2" w:rsidRDefault="00AB1AA0" w:rsidP="00003EA8">
      <w:pPr>
        <w:pStyle w:val="Footer"/>
        <w:rPr>
          <w:sz w:val="28"/>
          <w:szCs w:val="28"/>
        </w:rPr>
      </w:pPr>
    </w:p>
    <w:p w:rsidR="00AB1AA0" w:rsidRPr="00884FF2" w:rsidRDefault="00AB1AA0" w:rsidP="00003EA8">
      <w:pPr>
        <w:pStyle w:val="Footer"/>
        <w:rPr>
          <w:sz w:val="28"/>
          <w:szCs w:val="28"/>
        </w:rPr>
      </w:pPr>
    </w:p>
    <w:p w:rsidR="00AB1AA0" w:rsidRPr="00884FF2" w:rsidRDefault="00AB1AA0" w:rsidP="00003EA8">
      <w:pPr>
        <w:pStyle w:val="Footer"/>
        <w:rPr>
          <w:sz w:val="28"/>
          <w:szCs w:val="28"/>
        </w:rPr>
      </w:pPr>
    </w:p>
    <w:p w:rsidR="00AB1AA0" w:rsidRPr="00884FF2" w:rsidRDefault="00AB1AA0" w:rsidP="00003EA8">
      <w:pPr>
        <w:pStyle w:val="Footer"/>
        <w:rPr>
          <w:sz w:val="28"/>
          <w:szCs w:val="28"/>
        </w:rPr>
      </w:pPr>
    </w:p>
    <w:p w:rsidR="00AB1AA0" w:rsidRDefault="00AB1AA0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Default="00A92EDF" w:rsidP="00003EA8">
      <w:pPr>
        <w:pStyle w:val="Footer"/>
        <w:rPr>
          <w:sz w:val="28"/>
          <w:szCs w:val="28"/>
        </w:rPr>
      </w:pPr>
    </w:p>
    <w:p w:rsidR="00A92EDF" w:rsidRPr="00884FF2" w:rsidRDefault="00A92EDF" w:rsidP="00A92EDF">
      <w:pPr>
        <w:jc w:val="right"/>
        <w:rPr>
          <w:bCs/>
          <w:sz w:val="28"/>
          <w:szCs w:val="28"/>
        </w:rPr>
      </w:pPr>
      <w:r w:rsidRPr="00884FF2">
        <w:rPr>
          <w:bCs/>
        </w:rPr>
        <w:t xml:space="preserve">                                                           </w:t>
      </w:r>
      <w:r w:rsidRPr="00884FF2">
        <w:rPr>
          <w:bCs/>
          <w:sz w:val="28"/>
          <w:szCs w:val="28"/>
        </w:rPr>
        <w:t>Приложение</w:t>
      </w:r>
      <w:r>
        <w:rPr>
          <w:bCs/>
          <w:sz w:val="28"/>
          <w:szCs w:val="28"/>
        </w:rPr>
        <w:t xml:space="preserve"> №1</w:t>
      </w:r>
      <w:r w:rsidRPr="00884FF2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к распоряжению администрации</w:t>
      </w:r>
    </w:p>
    <w:p w:rsidR="00A92EDF" w:rsidRPr="00884FF2" w:rsidRDefault="00A92EDF" w:rsidP="00A92EDF">
      <w:pPr>
        <w:tabs>
          <w:tab w:val="left" w:pos="11160"/>
        </w:tabs>
        <w:jc w:val="right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 xml:space="preserve">  города Пыть-Яха</w:t>
      </w:r>
    </w:p>
    <w:p w:rsidR="00A92EDF" w:rsidRDefault="0027156E" w:rsidP="00003EA8">
      <w:pPr>
        <w:pStyle w:val="Foo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от 04.09.2019 № 2050-ра</w:t>
      </w:r>
    </w:p>
    <w:p w:rsidR="00152F85" w:rsidRDefault="00152F85" w:rsidP="00003EA8">
      <w:pPr>
        <w:pStyle w:val="Footer"/>
        <w:rPr>
          <w:sz w:val="28"/>
          <w:szCs w:val="28"/>
        </w:rPr>
      </w:pPr>
    </w:p>
    <w:p w:rsidR="00152F85" w:rsidRDefault="00152F85" w:rsidP="00003EA8">
      <w:pPr>
        <w:pStyle w:val="Footer"/>
        <w:rPr>
          <w:sz w:val="28"/>
          <w:szCs w:val="28"/>
        </w:rPr>
      </w:pPr>
    </w:p>
    <w:p w:rsidR="00152F85" w:rsidRDefault="00152F85" w:rsidP="00003EA8">
      <w:pPr>
        <w:pStyle w:val="Footer"/>
        <w:rPr>
          <w:sz w:val="28"/>
          <w:szCs w:val="28"/>
        </w:rPr>
      </w:pPr>
    </w:p>
    <w:p w:rsidR="00152F85" w:rsidRDefault="00152F85" w:rsidP="00003EA8">
      <w:pPr>
        <w:pStyle w:val="Footer"/>
        <w:rPr>
          <w:sz w:val="28"/>
          <w:szCs w:val="28"/>
        </w:rPr>
      </w:pPr>
    </w:p>
    <w:p w:rsidR="00152F85" w:rsidRDefault="00152F85" w:rsidP="00003EA8">
      <w:pPr>
        <w:pStyle w:val="Footer"/>
        <w:rPr>
          <w:sz w:val="28"/>
          <w:szCs w:val="28"/>
        </w:rPr>
      </w:pPr>
    </w:p>
    <w:p w:rsidR="00152F85" w:rsidRDefault="00152F85" w:rsidP="00003EA8">
      <w:pPr>
        <w:pStyle w:val="Footer"/>
        <w:rPr>
          <w:sz w:val="28"/>
          <w:szCs w:val="28"/>
        </w:rPr>
      </w:pPr>
    </w:p>
    <w:p w:rsidR="005A6EBC" w:rsidRDefault="005A6EBC" w:rsidP="00003EA8">
      <w:pPr>
        <w:pStyle w:val="Footer"/>
        <w:rPr>
          <w:sz w:val="28"/>
          <w:szCs w:val="28"/>
        </w:rPr>
      </w:pPr>
    </w:p>
    <w:p w:rsidR="005A6EBC" w:rsidRDefault="005A6EBC" w:rsidP="00003EA8">
      <w:pPr>
        <w:pStyle w:val="Footer"/>
        <w:rPr>
          <w:sz w:val="28"/>
          <w:szCs w:val="28"/>
        </w:rPr>
      </w:pPr>
    </w:p>
    <w:p w:rsidR="005A6EBC" w:rsidRPr="00216681" w:rsidRDefault="005A6EBC" w:rsidP="005A6EBC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>Прогноз</w:t>
      </w:r>
    </w:p>
    <w:p w:rsidR="005A6EBC" w:rsidRPr="00216681" w:rsidRDefault="005A6EBC" w:rsidP="005A6EBC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 xml:space="preserve"> социально-экономического развития</w:t>
      </w:r>
    </w:p>
    <w:p w:rsidR="005A6EBC" w:rsidRPr="00216681" w:rsidRDefault="005A6EBC" w:rsidP="005A6EBC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 xml:space="preserve">муниципального образования городской округ город Пыть-Ях </w:t>
      </w:r>
    </w:p>
    <w:p w:rsidR="005A6EBC" w:rsidRPr="00216681" w:rsidRDefault="005A6EBC" w:rsidP="005A6EBC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>на 2020 год и плановый период до 2024 года</w:t>
      </w: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  <w:r w:rsidRPr="005A6EBC">
        <w:rPr>
          <w:sz w:val="26"/>
          <w:szCs w:val="26"/>
        </w:rPr>
        <w:t>2019 год</w:t>
      </w:r>
    </w:p>
    <w:p w:rsidR="005A6EBC" w:rsidRPr="005A6EBC" w:rsidRDefault="005A6EBC" w:rsidP="005A6EBC">
      <w:pPr>
        <w:jc w:val="both"/>
        <w:rPr>
          <w:sz w:val="26"/>
          <w:szCs w:val="26"/>
        </w:rPr>
      </w:pPr>
    </w:p>
    <w:p w:rsidR="005A6EBC" w:rsidRPr="00216681" w:rsidRDefault="005A6EBC" w:rsidP="00216681">
      <w:pPr>
        <w:spacing w:line="360" w:lineRule="auto"/>
        <w:jc w:val="both"/>
        <w:rPr>
          <w:sz w:val="28"/>
          <w:szCs w:val="28"/>
        </w:rPr>
      </w:pPr>
      <w:r w:rsidRPr="00216681">
        <w:rPr>
          <w:sz w:val="28"/>
          <w:szCs w:val="28"/>
        </w:rPr>
        <w:tab/>
      </w:r>
      <w:bookmarkStart w:id="1" w:name="_Toc136336773"/>
      <w:r w:rsidRPr="00216681">
        <w:rPr>
          <w:sz w:val="28"/>
          <w:szCs w:val="28"/>
        </w:rPr>
        <w:t xml:space="preserve">Прогноз социально-экономического развития муниципального образования городской округ город Пыть-Ях на 2020 год и плановый период до 2024 года  разработан в соответствии с постановлением Правительства автономного округа от 25.12.2015 № 487-п «О порядке разработки, корректировки, утверждения (одобрения) и осуществлении мониторинга прогноза социально-экономического развития ХМАО-Югры на среднесрочный период и контроля его реализации и признании утратившим силу постановления Правительства ХМАО-Югры от 20.12.2007 № 327-п «О порядке разработки прогноза социально-экономического развития ХМАО-Югры» на основе базового сценария прогноза социально-экономического развития Российской Федерации на соответствующий период.  </w:t>
      </w:r>
    </w:p>
    <w:p w:rsidR="005A6EBC" w:rsidRPr="00216681" w:rsidRDefault="005A6EBC" w:rsidP="00216681">
      <w:pPr>
        <w:tabs>
          <w:tab w:val="left" w:pos="284"/>
          <w:tab w:val="left" w:pos="709"/>
        </w:tabs>
        <w:spacing w:line="360" w:lineRule="auto"/>
        <w:jc w:val="both"/>
        <w:rPr>
          <w:sz w:val="28"/>
          <w:szCs w:val="28"/>
        </w:rPr>
      </w:pPr>
      <w:r w:rsidRPr="00216681">
        <w:rPr>
          <w:sz w:val="28"/>
          <w:szCs w:val="28"/>
        </w:rPr>
        <w:tab/>
      </w:r>
      <w:r w:rsidRPr="00216681">
        <w:rPr>
          <w:sz w:val="28"/>
          <w:szCs w:val="28"/>
        </w:rPr>
        <w:tab/>
        <w:t>В базовый сценарий прогноза заложены предпосылки полной реализации разработанного Правительством Российской Федерации комплекса мер, направленных на обеспечение ускорения темпов экономического роста и улучшения демографической ситуации с учетом целей, поставленных Президентом Российской Федерации (Указ Президента Российской Федерации от 07.05.2018 № 204 «О национальных целях и стратегических задачах развития Российской Федерации на период до 2024 года»).</w:t>
      </w:r>
    </w:p>
    <w:p w:rsidR="005A6EBC" w:rsidRPr="00216681" w:rsidRDefault="005A6EBC" w:rsidP="00216681">
      <w:pPr>
        <w:spacing w:line="360" w:lineRule="auto"/>
        <w:ind w:firstLine="720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Показатели отчетного и прогнозируемого периодов основаны на статистической информации за 2018 год, за 1 квартал 2019 года, обобщения материалов структурных подразделений администрации города, организаций и предприятий, зарегистрированных и осуществляющих свою деятельность на территории города.</w:t>
      </w:r>
    </w:p>
    <w:p w:rsidR="005A6EBC" w:rsidRPr="00216681" w:rsidRDefault="005A6EBC" w:rsidP="00216681">
      <w:pPr>
        <w:spacing w:line="360" w:lineRule="auto"/>
        <w:jc w:val="both"/>
        <w:rPr>
          <w:sz w:val="28"/>
          <w:szCs w:val="28"/>
        </w:rPr>
      </w:pPr>
      <w:r w:rsidRPr="00216681">
        <w:rPr>
          <w:sz w:val="28"/>
          <w:szCs w:val="28"/>
        </w:rPr>
        <w:tab/>
      </w:r>
      <w:bookmarkEnd w:id="1"/>
      <w:r w:rsidRPr="00216681">
        <w:rPr>
          <w:sz w:val="28"/>
          <w:szCs w:val="28"/>
        </w:rPr>
        <w:t>Методической базой разработки Прогноза являются основные параметры прогноза социально-экономического развития Российской Федерации, краткое описание базового сценария, изменение цен (тарифов) на услуги хозяйствующих субъектов, осуществляющих регулируемые виды деятельности в инфраструктурном секторе на плановый период до 2024 года, индексы-</w:t>
      </w:r>
      <w:r w:rsidRPr="00216681">
        <w:rPr>
          <w:sz w:val="28"/>
          <w:szCs w:val="28"/>
        </w:rPr>
        <w:lastRenderedPageBreak/>
        <w:t>дефляторы, показатели инфляции Российской Федерации и исходные условия для формирования базового варианта развития экономики на период до 2024 года.</w:t>
      </w:r>
    </w:p>
    <w:p w:rsidR="005A6EBC" w:rsidRPr="00216681" w:rsidRDefault="005A6EBC" w:rsidP="00216681">
      <w:pPr>
        <w:spacing w:line="360" w:lineRule="auto"/>
        <w:ind w:firstLine="720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Прогноз социально-экономического развития города Пыть-Ях на 2020 год и плановый период до 2024 года выполнен в двух вариантах, первый вариант - консервативный, второй вариант - базовый.</w:t>
      </w:r>
    </w:p>
    <w:p w:rsidR="005A6EBC" w:rsidRPr="00216681" w:rsidRDefault="005A6EBC" w:rsidP="00216681">
      <w:pPr>
        <w:tabs>
          <w:tab w:val="left" w:pos="6015"/>
        </w:tabs>
        <w:spacing w:line="360" w:lineRule="auto"/>
        <w:ind w:firstLine="720"/>
        <w:jc w:val="both"/>
        <w:rPr>
          <w:sz w:val="28"/>
          <w:szCs w:val="28"/>
        </w:rPr>
      </w:pPr>
      <w:r w:rsidRPr="00216681">
        <w:rPr>
          <w:sz w:val="28"/>
          <w:szCs w:val="28"/>
        </w:rPr>
        <w:tab/>
      </w:r>
    </w:p>
    <w:p w:rsidR="005A6EBC" w:rsidRPr="00216681" w:rsidRDefault="005A6EBC" w:rsidP="00216681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>Общая оценка социально-экономической ситуации</w:t>
      </w:r>
    </w:p>
    <w:p w:rsidR="005A6EBC" w:rsidRPr="00216681" w:rsidRDefault="005A6EBC" w:rsidP="00216681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>в муниципальном образовании за отчетный период.</w:t>
      </w:r>
    </w:p>
    <w:p w:rsidR="005A6EBC" w:rsidRPr="00216681" w:rsidRDefault="005A6EBC" w:rsidP="00216681">
      <w:pPr>
        <w:spacing w:line="360" w:lineRule="auto"/>
        <w:jc w:val="both"/>
        <w:rPr>
          <w:sz w:val="28"/>
          <w:szCs w:val="28"/>
        </w:rPr>
      </w:pPr>
    </w:p>
    <w:p w:rsidR="005A6EBC" w:rsidRPr="00216681" w:rsidRDefault="005A6EBC" w:rsidP="00216681">
      <w:pPr>
        <w:spacing w:line="360" w:lineRule="auto"/>
        <w:ind w:firstLine="567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Основными показателями достигнутого уровня социально-экономического положения муниципального образования городской округ город Пыть-Ях, благодаря положительным тенденциям макроэкономической устойчивости, сложившейся в Ханты-Мансийском автономном округе – Югре, являются: </w:t>
      </w:r>
    </w:p>
    <w:p w:rsidR="005A6EBC" w:rsidRPr="005A6EBC" w:rsidRDefault="005A6EBC" w:rsidP="005A6EBC">
      <w:pPr>
        <w:ind w:firstLine="567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4"/>
        <w:gridCol w:w="1411"/>
        <w:gridCol w:w="2053"/>
      </w:tblGrid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center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Показатели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center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2018 год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center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 xml:space="preserve">2019 год </w:t>
            </w:r>
          </w:p>
          <w:p w:rsidR="005A6EBC" w:rsidRPr="005A6EBC" w:rsidRDefault="005A6EBC" w:rsidP="005A6EBC">
            <w:pPr>
              <w:jc w:val="center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2"/>
                <w:szCs w:val="22"/>
              </w:rPr>
              <w:t>(оценка)</w:t>
            </w:r>
          </w:p>
        </w:tc>
      </w:tr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both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Объем промышленного производства (В</w:t>
            </w:r>
            <w:r w:rsidRPr="005A6EBC">
              <w:rPr>
                <w:bCs/>
                <w:sz w:val="26"/>
                <w:szCs w:val="26"/>
                <w:lang w:val="en-US"/>
              </w:rPr>
              <w:t>CDE</w:t>
            </w:r>
            <w:r w:rsidRPr="005A6EBC">
              <w:rPr>
                <w:bCs/>
                <w:sz w:val="26"/>
                <w:szCs w:val="26"/>
              </w:rPr>
              <w:t>), млрд.руб.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24,39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25,53</w:t>
            </w:r>
          </w:p>
        </w:tc>
      </w:tr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both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Объем производства продукции сельского хозяйства, млн.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229,0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237,22</w:t>
            </w:r>
          </w:p>
        </w:tc>
      </w:tr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both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Объем работ, выполненных по виду экономической деятельности «Строительство», млрд.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2,10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2,22</w:t>
            </w:r>
          </w:p>
        </w:tc>
      </w:tr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both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Ввод в действие жилых домов, кв.м.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12,12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40,00</w:t>
            </w:r>
          </w:p>
        </w:tc>
      </w:tr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both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Инвестиции в основной капитал, млрд.руб.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5,11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3,16</w:t>
            </w:r>
          </w:p>
        </w:tc>
      </w:tr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both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Оборот розничной торговли, млрд.руб.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5,92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6,22</w:t>
            </w:r>
          </w:p>
        </w:tc>
      </w:tr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both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Объем платных услуг населению, млрд.руб.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1,81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1,90</w:t>
            </w:r>
          </w:p>
        </w:tc>
      </w:tr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rPr>
                <w:sz w:val="26"/>
                <w:szCs w:val="26"/>
              </w:rPr>
            </w:pPr>
            <w:r w:rsidRPr="005A6EBC">
              <w:rPr>
                <w:sz w:val="26"/>
                <w:szCs w:val="26"/>
              </w:rPr>
              <w:t xml:space="preserve">Оборот малых и средних предприятий, включая микропредприятия, </w:t>
            </w:r>
            <w:r w:rsidRPr="005A6EBC">
              <w:rPr>
                <w:bCs/>
                <w:sz w:val="26"/>
                <w:szCs w:val="26"/>
              </w:rPr>
              <w:t>млрд.руб.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sz w:val="26"/>
                <w:szCs w:val="26"/>
              </w:rPr>
            </w:pPr>
            <w:r w:rsidRPr="005A6EBC">
              <w:rPr>
                <w:sz w:val="26"/>
                <w:szCs w:val="26"/>
              </w:rPr>
              <w:t>5,30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sz w:val="26"/>
                <w:szCs w:val="26"/>
              </w:rPr>
            </w:pPr>
            <w:r w:rsidRPr="005A6EBC">
              <w:rPr>
                <w:sz w:val="26"/>
                <w:szCs w:val="26"/>
              </w:rPr>
              <w:t>5,30</w:t>
            </w:r>
          </w:p>
        </w:tc>
      </w:tr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both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Реальные располагаемые денежные доходы,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97,18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100,00</w:t>
            </w:r>
          </w:p>
        </w:tc>
      </w:tr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both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Среднемесячная заработная плата, рублей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66 335,00</w:t>
            </w:r>
          </w:p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70 381,44</w:t>
            </w:r>
          </w:p>
        </w:tc>
      </w:tr>
    </w:tbl>
    <w:p w:rsidR="005A6EBC" w:rsidRPr="005A6EBC" w:rsidRDefault="005A6EBC" w:rsidP="005A6EBC">
      <w:pPr>
        <w:ind w:firstLine="720"/>
        <w:jc w:val="both"/>
        <w:rPr>
          <w:sz w:val="26"/>
          <w:szCs w:val="26"/>
        </w:rPr>
      </w:pPr>
    </w:p>
    <w:p w:rsidR="005A6EBC" w:rsidRPr="00216681" w:rsidRDefault="005A6EBC" w:rsidP="00216681">
      <w:pPr>
        <w:jc w:val="center"/>
        <w:rPr>
          <w:sz w:val="28"/>
          <w:szCs w:val="28"/>
        </w:rPr>
      </w:pPr>
      <w:r w:rsidRPr="00216681">
        <w:rPr>
          <w:sz w:val="28"/>
          <w:szCs w:val="28"/>
        </w:rPr>
        <w:t>Промышленное производство</w:t>
      </w:r>
    </w:p>
    <w:p w:rsidR="005A6EBC" w:rsidRPr="005A6EBC" w:rsidRDefault="005A6EBC" w:rsidP="005A6EBC">
      <w:pPr>
        <w:ind w:firstLine="720"/>
        <w:jc w:val="both"/>
        <w:rPr>
          <w:bCs/>
          <w:sz w:val="26"/>
          <w:szCs w:val="26"/>
        </w:rPr>
      </w:pP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При разработке прогноза были учтены особенности сложившейся структуры и объемов отгрузки промышленного производства в 2018 году. </w:t>
      </w:r>
      <w:r w:rsidRPr="00216681">
        <w:rPr>
          <w:sz w:val="28"/>
          <w:szCs w:val="28"/>
        </w:rPr>
        <w:lastRenderedPageBreak/>
        <w:t>Оценка ожидаемых объемов отгруженных товаров в 2019 году осуществлена на основании статистических данных.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 xml:space="preserve">За 2018 год предприятиями промышленности отгружено товаров собственного производства на сумму 24,39 млрд. руб., что составляет 66,5% от общегородского выпуска товаров и услуг за год (36,66 млрд. руб.).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>В 2019 году планируется производство товаров и услуг промышленного производства на 25,53 млрд. руб. (индекс промышленного производства – 100,77%), к 2024 году прогнозируется 31,06 млрд. руб. (индекс 100,38%) по базовому варианту, в том числе по основным направлениям: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>- добыча полезных ископаемых – индекс производства 100,19%; к 2024 году –101,66%;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>- обрабатывающие производства - индекс производства 100,29%; к 2024 году –100,29%;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>- обеспечение электрической энергией, газом и паром; кондиционирование воздуха -индекс производства 100,19%; к 2024 году – 100,0%;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>- водоснабжение; водоотведение, организация сбора утилизации отходов, деятельность по ликвидации загрязнений - индекс производства 100,58%; к 2024 году – 100,0%.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pacing w:val="4"/>
          <w:position w:val="-2"/>
          <w:sz w:val="28"/>
          <w:szCs w:val="28"/>
        </w:rPr>
      </w:pPr>
      <w:r w:rsidRPr="00216681">
        <w:rPr>
          <w:bCs/>
          <w:sz w:val="28"/>
          <w:szCs w:val="28"/>
        </w:rPr>
        <w:t xml:space="preserve">Ведущим предприятием, определяющим развитие в сфере добычи топливно-энергетических полезных ископаемых, является </w:t>
      </w:r>
      <w:r w:rsidRPr="00216681">
        <w:rPr>
          <w:bCs/>
          <w:spacing w:val="4"/>
          <w:position w:val="-2"/>
          <w:sz w:val="28"/>
          <w:szCs w:val="28"/>
        </w:rPr>
        <w:t>«Южно-Балыкский ГПЗ» филиал</w:t>
      </w:r>
      <w:r w:rsidRPr="00216681">
        <w:rPr>
          <w:bCs/>
          <w:sz w:val="28"/>
          <w:szCs w:val="28"/>
        </w:rPr>
        <w:t xml:space="preserve"> АО «СибурТюменьГаз». </w:t>
      </w:r>
      <w:r w:rsidRPr="00216681">
        <w:rPr>
          <w:bCs/>
          <w:spacing w:val="4"/>
          <w:position w:val="-2"/>
          <w:sz w:val="28"/>
          <w:szCs w:val="28"/>
        </w:rPr>
        <w:t xml:space="preserve">Основным видом деятельности является переработка попутного нефтяного газа нефтяных месторождений ООО «Роснефть-Юганскнефтегаз» с максимальным извлечением целевых углеводородов, являющихся основным сырьем для ПАО «СИБУР Холдинг».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bCs/>
          <w:spacing w:val="4"/>
          <w:position w:val="-2"/>
          <w:sz w:val="28"/>
          <w:szCs w:val="28"/>
        </w:rPr>
        <w:t>Мощности газоперерабатывающего завода позволяют перерабатывать в год не менее 3 млрд. куб. метров попутного нефтяного газа:</w:t>
      </w:r>
      <w:r w:rsidRPr="00216681">
        <w:rPr>
          <w:sz w:val="28"/>
          <w:szCs w:val="28"/>
        </w:rPr>
        <w:t xml:space="preserve"> в 2018 году переработано 2,7 млрд. куб.м. (101,0% к 2017 году), увеличение выработки сухого газа связано с увеличением поставки попутного нефтяного газа.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Наиболее крупным промышленным предприятием является ООО «Борец сервис – Нефтеюганск», основной вид деятельности предприятия – </w:t>
      </w:r>
      <w:r w:rsidRPr="00216681">
        <w:rPr>
          <w:sz w:val="28"/>
          <w:szCs w:val="28"/>
        </w:rPr>
        <w:lastRenderedPageBreak/>
        <w:t xml:space="preserve">предоставление прочих услуг, связанных с добычей нефти и газа.  За 2018 год предприятием по основному виду деятельности оказано услуг на сумму 1 249,00 млн. руб. (64,4% к 2017 году).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Раздел «Обрабатывающие производства» представлен предприятиями, оказывающими услуги по монтажу, ремонту и техническому обслуживанию оборудования; услуги по обработке металлических отходов и лома (такие как ООО «Юганск Профит – Центр», ООО «Арсенал» и другие предприятия).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Производство промышленных газов осуществляется заводом по производству жидкого азота ООО «Группа компаний СА» -  одним из двух имеющихся в Югре предприятий, которое вырабатывает жидкий азот. Жидкий азот данного завода сертифицирован и имеет паспорт качества (Коэффициент фильтрации азота - 99, 999%). Предприятие имеет две установки импортного производства с возможностью выработки жидкого азота полторы тонны в час каждая, свой муфтовый цех, свой железнодорожный тупик, самостоятельно занимается ремонтом НКТ.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По разделу «О</w:t>
      </w:r>
      <w:r w:rsidRPr="00216681">
        <w:rPr>
          <w:bCs/>
          <w:sz w:val="28"/>
          <w:szCs w:val="28"/>
        </w:rPr>
        <w:t xml:space="preserve">беспечение электрической энергией, газом и паром; кондиционирование воздуха» основными представителями являются </w:t>
      </w:r>
      <w:r w:rsidRPr="00216681">
        <w:rPr>
          <w:sz w:val="28"/>
          <w:szCs w:val="28"/>
        </w:rPr>
        <w:t xml:space="preserve">ОАО «Тюменская энергосбытовая компания», ОАО «ЮТЭК - Региональные сети», МУП «Управление городского хозяйства».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За 2018 год всего потреблено 143,20 млн. кВт. час. электроэнергии (99,3% к 2017 году). К 2024 году объем потребления электроэнергии не изменится, потребление останется на уровне 2018 года - 143,23 млн. кВт.час.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В разделе «Водоснабжение; водоотведение, организация сбора и утилизации отходов, деятельность по ликвидации загрязнений» основным предприятием является МУП «Управление городского хозяйства».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В отчетном и прогнозируемом периоде динамика производства и отгрузки промышленной продукции, в том числе основных видов деятельности, характеризуется как стабильная. </w:t>
      </w:r>
    </w:p>
    <w:p w:rsidR="005A6EBC" w:rsidRPr="00216681" w:rsidRDefault="005A6EBC" w:rsidP="00216681">
      <w:pPr>
        <w:keepNext/>
        <w:numPr>
          <w:ilvl w:val="0"/>
          <w:numId w:val="1"/>
        </w:numPr>
        <w:spacing w:line="360" w:lineRule="auto"/>
        <w:jc w:val="center"/>
        <w:outlineLvl w:val="0"/>
        <w:rPr>
          <w:kern w:val="28"/>
          <w:sz w:val="28"/>
          <w:szCs w:val="28"/>
        </w:rPr>
      </w:pPr>
      <w:r w:rsidRPr="00216681">
        <w:rPr>
          <w:kern w:val="28"/>
          <w:sz w:val="28"/>
          <w:szCs w:val="28"/>
        </w:rPr>
        <w:t xml:space="preserve">Инвестиции </w:t>
      </w:r>
    </w:p>
    <w:p w:rsidR="005A6EBC" w:rsidRPr="005A6EBC" w:rsidRDefault="005A6EBC" w:rsidP="005A6EBC">
      <w:pPr>
        <w:tabs>
          <w:tab w:val="left" w:pos="709"/>
        </w:tabs>
        <w:rPr>
          <w:sz w:val="20"/>
          <w:szCs w:val="20"/>
        </w:rPr>
      </w:pP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lastRenderedPageBreak/>
        <w:t>Капитал инвестиций города Пыть-Яха на протяжении последних лет стабилен и в основном состоит из инвестиционных вложений в вид экономической деятельности «Добыча полезных ископаемых» и виды экономической деятельности, связанные с жизнеобеспечением городской инфраструктуры и социальным развитием города.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Объем инвестиций в основной капитал по полному кругу предприятий за счет всех источников финансирования за 2018 год составил 5 108,68 млн. руб., объем инвестиций в основной капитал по крупным и средним предприятиям (без субъектов малого предпринимательства) за счет всех источников финансирования, по предварительным данным, за 2018 год составил 4 644,26 млн. руб. (рост 18,33% в действующих и на 12,38% в сопоставимых ценах относительно 2017 года).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Сохранение роста объема инвестиций обусловлено реализацией                        АО «СибурТюменьГаз» крупного инвестиционного проекта: «Установка глубокой очистки ШФЛУ» (завершение – декабрь 2018г).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Источниками финансирования инвестиций в основной капитал в 2018 году в большей части стали собственные средства (99,7%), доля привлеченных средств составила 0,3%. Бюджетные средства в общем объеме привлеченных средств составили 91,8%. 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АО «ЮТЭК-Региональные сети» является постоянным инвестором в сфере энергосбережения на территории города. Объем финансирования инвестиционной программы предприятия на 2018-2022 гг., составляет 398,94 млн.руб., который предусматривает новое строительство 13 объектов и техническое перевооружение (реконструкцию) 13 объектов. За 2018 год инвестировано всего 73,3 млн. рублей. Также, в 2018 году завершена реализация инвестиционного проекта на реконструкцию объекта «Подстанция М-</w:t>
      </w:r>
      <w:r w:rsidRPr="00216681">
        <w:rPr>
          <w:sz w:val="28"/>
          <w:szCs w:val="28"/>
          <w:lang w:val="en-US"/>
        </w:rPr>
        <w:t>I</w:t>
      </w:r>
      <w:r w:rsidRPr="00216681">
        <w:rPr>
          <w:sz w:val="28"/>
          <w:szCs w:val="28"/>
        </w:rPr>
        <w:t xml:space="preserve">», город Пыть-Ях, 8 микрорайон «Горка». Инвестором выступал АО «ЮТЭК – Региональные сети» при поддержке муниципального образования. Общий объем инвестиций на выполнение реконструкции объекта составил 180,3 млн. руб. </w:t>
      </w:r>
    </w:p>
    <w:p w:rsidR="005A6EBC" w:rsidRPr="00216681" w:rsidRDefault="005A6EBC" w:rsidP="00216681">
      <w:pPr>
        <w:tabs>
          <w:tab w:val="left" w:pos="426"/>
        </w:tabs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lastRenderedPageBreak/>
        <w:t xml:space="preserve"> </w:t>
      </w:r>
      <w:r w:rsidRPr="00216681">
        <w:rPr>
          <w:sz w:val="28"/>
          <w:szCs w:val="28"/>
        </w:rPr>
        <w:tab/>
        <w:t xml:space="preserve">В 2019 году, по оценке, объем инвестиций в основной капитал за счет всех источников финансирования по полному кругу предприятий ожидается в сумме          3 162,36 млн. руб., к 2018 году в сопоставимых ценах составит 58,9%, в 2020 –             3 082,07 млн.руб. (по базовому варианту), к </w:t>
      </w:r>
      <w:smartTag w:uri="urn:schemas-microsoft-com:office:smarttags" w:element="metricconverter">
        <w:smartTagPr>
          <w:attr w:name="ProductID" w:val="2019 г"/>
        </w:smartTagPr>
        <w:r w:rsidRPr="00216681">
          <w:rPr>
            <w:sz w:val="28"/>
            <w:szCs w:val="28"/>
          </w:rPr>
          <w:t>2019 г</w:t>
        </w:r>
      </w:smartTag>
      <w:r w:rsidRPr="00216681">
        <w:rPr>
          <w:sz w:val="28"/>
          <w:szCs w:val="28"/>
        </w:rPr>
        <w:t>. – 92,5%. Снижение инвестиционного капитала обусловлено завершением реализации масштабного инвестиционного проекта АО «СибурТюменьГаз» «Установка глубокой очистки ШФЛУ».</w:t>
      </w:r>
    </w:p>
    <w:p w:rsidR="005A6EBC" w:rsidRPr="00216681" w:rsidRDefault="005A6EBC" w:rsidP="00216681">
      <w:pPr>
        <w:tabs>
          <w:tab w:val="left" w:pos="426"/>
        </w:tabs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ab/>
        <w:t xml:space="preserve">В прогнозируемом периоде 2019-2024гг планируется инвестирование следующих направлений экономической деятельности города: </w:t>
      </w:r>
    </w:p>
    <w:p w:rsidR="005A6EBC" w:rsidRPr="00216681" w:rsidRDefault="005A6EBC" w:rsidP="00216681">
      <w:pPr>
        <w:tabs>
          <w:tab w:val="left" w:pos="426"/>
        </w:tabs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- образование и спорт: заканчивается строительство школы-сада на 550 мест (инвестор ОАО «ДСК «Автобан»), ведутся подготовительные работы по строительству школы на 1000 мест (инвестор не определен), спортивно-досугового комплекса (инвестор ООО «РН-Юганскнефтегаз»);</w:t>
      </w:r>
    </w:p>
    <w:p w:rsidR="005A6EBC" w:rsidRPr="00216681" w:rsidRDefault="005A6EBC" w:rsidP="00216681">
      <w:pPr>
        <w:tabs>
          <w:tab w:val="left" w:pos="426"/>
        </w:tabs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- жилищно-коммунальная сфера: ведутся подготовительные работы по передаче объектов тепло-водоснабжения и водоотведения в концессию; прогнозируется реконструкция объектов коммунального комплекса «ВОС-3», «ВОС-1 (2 очередь)» в рамках Адресной инвестиционной программы Ханты-Мансийского автономного округа-Югры на 2019 год и на плановый период 2020 и 2021 годов, строительство КНС в мкр. 6 «Пионерный» (инвестор не определен);</w:t>
      </w:r>
    </w:p>
    <w:p w:rsidR="005A6EBC" w:rsidRPr="00216681" w:rsidRDefault="005A6EBC" w:rsidP="00216681">
      <w:pPr>
        <w:tabs>
          <w:tab w:val="left" w:pos="426"/>
        </w:tabs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- транспортная инфраструктура: запланирован капитальный ремонт ул. Романа Кузоваткина, в целях прохождения процедуры государственной экспертизы и получения заключения проектно-сметная документация направлена в АУ ХМАО-Югры «Управлении государственной экспертизы проектной документации и ценообразования в строительстве»;</w:t>
      </w:r>
    </w:p>
    <w:p w:rsidR="005A6EBC" w:rsidRPr="00216681" w:rsidRDefault="005A6EBC" w:rsidP="00216681">
      <w:pPr>
        <w:tabs>
          <w:tab w:val="left" w:pos="426"/>
        </w:tabs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- строительство: с 2019 года предусмотрена реконструкция железнодорожного вокзала (инвестор ОАО «Российские железные дороги»), строительство автомобильной дороги по ул. Православная к больничному комплексу с закольцовкой к п. Горка (инвестор не определен).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Постоянным блоком инвестирования в городе является жилищное строительство. В 2018 году ввод жилья составил 12,1 тыс. кв. метров, в 2019 году </w:t>
      </w:r>
      <w:r w:rsidRPr="00216681">
        <w:rPr>
          <w:sz w:val="28"/>
          <w:szCs w:val="28"/>
        </w:rPr>
        <w:lastRenderedPageBreak/>
        <w:t>запланирован ввод жилья 40,0 тыс. кв. метров, в 2020-2024гг прогноз жилого строительства составляет 136,0 тыс.кв. метров.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В соответствии с градостроительными планом города Пыть-Яха, в микрорайоне №1 «Центральный» предусмотрена комплексная застройка территории инвестором ОАО «Дорожно-строительной компанией «АВТОБАН». Вблизи школы-сада планируется строительство 5 многоквартирных домов. </w:t>
      </w:r>
    </w:p>
    <w:p w:rsidR="005A6EBC" w:rsidRPr="00216681" w:rsidRDefault="005A6EBC" w:rsidP="00216681">
      <w:pPr>
        <w:tabs>
          <w:tab w:val="num" w:pos="540"/>
        </w:tabs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sz w:val="28"/>
          <w:szCs w:val="28"/>
        </w:rPr>
        <w:tab/>
      </w:r>
      <w:r w:rsidRPr="00216681">
        <w:rPr>
          <w:sz w:val="28"/>
          <w:szCs w:val="28"/>
        </w:rPr>
        <w:tab/>
        <w:t xml:space="preserve">В 2021 году </w:t>
      </w:r>
      <w:r w:rsidRPr="00216681">
        <w:rPr>
          <w:bCs/>
          <w:sz w:val="28"/>
          <w:szCs w:val="28"/>
        </w:rPr>
        <w:t xml:space="preserve">инвестиции города по полному кругу предприятий за счет всех источников финансирования составят 2 732,7 млн. руб., в </w:t>
      </w:r>
      <w:smartTag w:uri="urn:schemas-microsoft-com:office:smarttags" w:element="metricconverter">
        <w:smartTagPr>
          <w:attr w:name="ProductID" w:val="2024 г"/>
        </w:smartTagPr>
        <w:r w:rsidRPr="00216681">
          <w:rPr>
            <w:bCs/>
            <w:sz w:val="28"/>
            <w:szCs w:val="28"/>
          </w:rPr>
          <w:t>2024 г</w:t>
        </w:r>
      </w:smartTag>
      <w:r w:rsidRPr="00216681">
        <w:rPr>
          <w:bCs/>
          <w:sz w:val="28"/>
          <w:szCs w:val="28"/>
        </w:rPr>
        <w:t>. – 1 989,4 млн. руб. (базовый вариант).  Как и в предыдущие периоды, основную долю инвестиций будут составлять собственные средства предприятий (организаций).</w:t>
      </w:r>
    </w:p>
    <w:p w:rsidR="005A6EBC" w:rsidRPr="00216681" w:rsidRDefault="005A6EBC" w:rsidP="00216681">
      <w:pPr>
        <w:tabs>
          <w:tab w:val="left" w:pos="567"/>
        </w:tabs>
        <w:snapToGrid w:val="0"/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ab/>
        <w:t xml:space="preserve">Основным фактором, определяющим изменения динамического развития инвестиций города, является завершение реализации масштабных промышленных инвестиционных проектов, продолжение реализации проектов социальной сферы и коммунального хозяйства. </w:t>
      </w:r>
    </w:p>
    <w:p w:rsidR="005A6EBC" w:rsidRPr="005A6EBC" w:rsidRDefault="005A6EBC" w:rsidP="005A6EBC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5A6EBC" w:rsidRPr="00216681" w:rsidRDefault="005A6EBC" w:rsidP="00216681">
      <w:pPr>
        <w:autoSpaceDE w:val="0"/>
        <w:autoSpaceDN w:val="0"/>
        <w:adjustRightInd w:val="0"/>
        <w:jc w:val="center"/>
        <w:rPr>
          <w:sz w:val="28"/>
          <w:szCs w:val="28"/>
          <w:shd w:val="clear" w:color="auto" w:fill="FFFFFF"/>
        </w:rPr>
      </w:pPr>
      <w:r w:rsidRPr="00216681">
        <w:rPr>
          <w:sz w:val="28"/>
          <w:szCs w:val="28"/>
        </w:rPr>
        <w:t>Строительство</w:t>
      </w:r>
    </w:p>
    <w:p w:rsidR="005A6EBC" w:rsidRPr="005A6EBC" w:rsidRDefault="005A6EBC" w:rsidP="005A6EBC">
      <w:pPr>
        <w:snapToGrid w:val="0"/>
        <w:jc w:val="both"/>
        <w:rPr>
          <w:sz w:val="26"/>
          <w:szCs w:val="26"/>
        </w:rPr>
      </w:pPr>
      <w:r w:rsidRPr="005A6EBC">
        <w:rPr>
          <w:sz w:val="26"/>
          <w:szCs w:val="26"/>
        </w:rPr>
        <w:tab/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Работы и услуги собственными силами крупных и средних предприятий и организаций</w:t>
      </w:r>
      <w:r w:rsidRPr="00216681">
        <w:rPr>
          <w:sz w:val="28"/>
          <w:szCs w:val="28"/>
        </w:rPr>
        <w:tab/>
        <w:t xml:space="preserve">по чистому виду деятельности «Строительство» за 2018 год выполнены на сумму 2,1 млрд. руб.  (100,1% в сопоставимых ценах относительно 2017 года).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ab/>
        <w:t xml:space="preserve">В 2018 году введено в эксплуатацию 12 122,9 кв.м жилья - 21 объект индивидуального жилищного строительства (2017 – </w:t>
      </w:r>
      <w:smartTag w:uri="urn:schemas-microsoft-com:office:smarttags" w:element="metricconverter">
        <w:smartTagPr>
          <w:attr w:name="ProductID" w:val="4 035,7 кв. м"/>
        </w:smartTagPr>
        <w:r w:rsidRPr="00216681">
          <w:rPr>
            <w:sz w:val="28"/>
            <w:szCs w:val="28"/>
          </w:rPr>
          <w:t>4 035,7 кв. м</w:t>
        </w:r>
      </w:smartTag>
      <w:r w:rsidRPr="00216681">
        <w:rPr>
          <w:sz w:val="28"/>
          <w:szCs w:val="28"/>
        </w:rPr>
        <w:t>), 1 объект многоквартирного жилищного строительства (2017 - 22 755,9).  Годовой план общего объема жилищного строительства (11 377,16 кв.м.) выполнен на 106,6%. Обеспеченность жильем по итогам 2018 года составила 17,6 квадратных метра в среднем на одного жителя города.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В 2019 году ожидается ввод 40,0 тыс. кв. метров, в 2020-2024гг прогноз жилищного строительства составляет 136,0 тыс.кв. метров.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ab/>
        <w:t xml:space="preserve">Удельный вес жилых домов, построенных населением, в 2018 году составил 33,3%, в 2019 году оценивается на уровне 3,0%. В прогнозном периоде </w:t>
      </w:r>
      <w:r w:rsidRPr="00216681">
        <w:rPr>
          <w:sz w:val="28"/>
          <w:szCs w:val="28"/>
        </w:rPr>
        <w:lastRenderedPageBreak/>
        <w:t>2020-2024 годов доля индивидуального жилья в общем объеме ввода достигнет 7,4%.</w:t>
      </w:r>
    </w:p>
    <w:p w:rsidR="005A6EBC" w:rsidRPr="00216681" w:rsidRDefault="005A6EBC" w:rsidP="00216681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По состоянию на 01.01.2019 года общая площадь жилищного фонда составила 694,9 тыс. кв. м., увеличившись на 0,9% (8,76,2 тыс. кв.м.) по сравнению с 2017 годом.  Основную долю жилых помещений – 95,2% составляет благоустроенное и пригодное для проживания жилье (661,3 тыс.кв. метров), 4,8% - ветхий, аварийный и прочий жилищный фонд (33,6 тыс.кв. метров). </w:t>
      </w:r>
    </w:p>
    <w:p w:rsidR="005A6EBC" w:rsidRPr="00216681" w:rsidRDefault="005A6EBC" w:rsidP="00216681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 В связи с прогнозируемой динамикой ввода жилья к 2024 году и сносом ветхого и аварийного жилищного фонда доля благоустроенного и пригодного для проживания жилья составит 100%. Обеспеченность жильем в 2024 году составит 20,7 квадратных метра в среднем на одного жителя города.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Кроме жилищного строительства, в отчетном периоде были построены (реконструированы) торговые объекты, в том числе новый торговый центр площадью </w:t>
      </w:r>
      <w:smartTag w:uri="urn:schemas-microsoft-com:office:smarttags" w:element="metricconverter">
        <w:smartTagPr>
          <w:attr w:name="ProductID" w:val="1 472,9 кв. м"/>
        </w:smartTagPr>
        <w:r w:rsidRPr="00216681">
          <w:rPr>
            <w:sz w:val="28"/>
            <w:szCs w:val="28"/>
          </w:rPr>
          <w:t>1 472,9 кв. м</w:t>
        </w:r>
      </w:smartTag>
      <w:r w:rsidRPr="00216681">
        <w:rPr>
          <w:sz w:val="28"/>
          <w:szCs w:val="28"/>
        </w:rPr>
        <w:t>.  Введен в эксплуатацию объект агропромышленного комплекса - птичник «Инкубаторий», мощность которого предусматривает выведение более 164 тыс. голов птиц.</w:t>
      </w:r>
    </w:p>
    <w:p w:rsidR="005A6EBC" w:rsidRPr="005A6EBC" w:rsidRDefault="005A6EBC" w:rsidP="005A6EBC">
      <w:pPr>
        <w:ind w:firstLine="720"/>
        <w:jc w:val="center"/>
        <w:rPr>
          <w:bCs/>
          <w:sz w:val="26"/>
          <w:szCs w:val="26"/>
        </w:rPr>
      </w:pPr>
    </w:p>
    <w:p w:rsidR="005A6EBC" w:rsidRPr="00216681" w:rsidRDefault="005A6EBC" w:rsidP="00216681">
      <w:pPr>
        <w:jc w:val="center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>Потребительский рынок</w:t>
      </w:r>
    </w:p>
    <w:p w:rsidR="005A6EBC" w:rsidRPr="005A6EBC" w:rsidRDefault="005A6EBC" w:rsidP="005A6EBC">
      <w:pPr>
        <w:ind w:firstLine="720"/>
        <w:jc w:val="both"/>
        <w:rPr>
          <w:b/>
          <w:bCs/>
          <w:sz w:val="26"/>
          <w:szCs w:val="26"/>
        </w:rPr>
      </w:pP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Формирование потребительского рынка на территории города складывается на основе динамики реальных располагаемых денежных доходов населения, потребительского кредитования, проведенной индексации заработных плат и пенсий, увеличения торговых площадей, в совокупности с колебанием национальной валюты и инфляции.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 Розничный товарооборот в 2018 году сложился в пределах 5,92 млрд. рублей при индексе 100,59%, в 2019 году оценивается 6,22 млрд. руб. при индексе 100,1%, к 2024 году оборот торговли составит 7,53 млрд. руб. при индексе 100,1% (по базовому варианту).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На 01.01.2019 года инфраструктуру потребительского рынка в городе составляют 17 торговых центров, 212 продовольственных, </w:t>
      </w:r>
      <w:r w:rsidRPr="00216681">
        <w:rPr>
          <w:sz w:val="28"/>
          <w:szCs w:val="28"/>
        </w:rPr>
        <w:lastRenderedPageBreak/>
        <w:t>непродовольственных и универсальных магазинов, а также 51 объект нестационарной торговли.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rFonts w:eastAsia="Calibri"/>
          <w:sz w:val="28"/>
          <w:szCs w:val="28"/>
        </w:rPr>
      </w:pPr>
      <w:r w:rsidRPr="00216681">
        <w:rPr>
          <w:rFonts w:eastAsia="Calibri"/>
          <w:sz w:val="28"/>
          <w:szCs w:val="28"/>
        </w:rPr>
        <w:t>На сегодняшний день в городе осуществляют свою деятельность 32 торговые сети федерального и регионального уровней в 55 торговых объектах общей площадью 11 571 кв.м, в том числе представлены торговые марки федерального значения – это магазины: «Магнит», «Пятерочка», «Монетка», «Красное Белое», «Продукты Ермолино», «Светофор», магазины цифровой и бытовой техники «DNS» и «RBT.ru», салоны связи «Евросеть», «Связной», «Мегафон», «Теле2»; «Кари», «Галамарт», «Магнит Косметик», «Sela» и другие.</w:t>
      </w:r>
    </w:p>
    <w:p w:rsidR="005A6EBC" w:rsidRPr="00216681" w:rsidRDefault="005A6EBC" w:rsidP="00216681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Объем платных услуг, предоставленных населению города, в 2019 году оценивается в 1,89 млрд. руб. (индекс 99,9%), в 2020 году прогнозируется в размере 1,97 млрд. руб. (индекс 99,9% по базовому варианту). Потребление услуг в 2024 году прогнозируется на уровне 2,33 млрд. руб., что составит 123,2% к 2019 году ценах соответствующих лет. </w:t>
      </w:r>
    </w:p>
    <w:p w:rsidR="005A6EBC" w:rsidRPr="00216681" w:rsidRDefault="005A6EBC" w:rsidP="00216681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Востребованными платными услугами, предоставляемыми населению в прогнозном периоде, будут оставаться услуги обязательного характера: жилищно-коммунальные, услуги пассажирского транспорта и услуги связи. </w:t>
      </w:r>
    </w:p>
    <w:p w:rsidR="005A6EBC" w:rsidRPr="00216681" w:rsidRDefault="005A6EBC" w:rsidP="00216681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bCs/>
          <w:sz w:val="28"/>
          <w:szCs w:val="28"/>
        </w:rPr>
        <w:t>В текущем прогнозе применен индекс потребительских цен, рекомендуемый Министерством экономического развития РФ. В целях сохранения стабильного социально-экономического положения на территории города и сохранения уровня инфляции в допустимых пределах, на прогнозируемый период установлены индексы 102,9% в 2018 году, 105,0% в 2019 году, 103,7% - 104,0% в 2020 -2024 годах.</w:t>
      </w:r>
    </w:p>
    <w:p w:rsidR="005A6EBC" w:rsidRPr="005A6EBC" w:rsidRDefault="005A6EBC" w:rsidP="005A6EBC">
      <w:pPr>
        <w:ind w:firstLine="709"/>
        <w:jc w:val="center"/>
        <w:rPr>
          <w:bCs/>
          <w:sz w:val="26"/>
          <w:szCs w:val="26"/>
        </w:rPr>
      </w:pPr>
    </w:p>
    <w:p w:rsidR="005A6EBC" w:rsidRPr="00216681" w:rsidRDefault="005A6EBC" w:rsidP="00216681">
      <w:pPr>
        <w:jc w:val="center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>Уровень жизни населения</w:t>
      </w:r>
    </w:p>
    <w:p w:rsidR="005A6EBC" w:rsidRPr="005A6EBC" w:rsidRDefault="005A6EBC" w:rsidP="005A6EBC">
      <w:pPr>
        <w:ind w:firstLine="720"/>
        <w:jc w:val="both"/>
        <w:rPr>
          <w:bCs/>
          <w:sz w:val="26"/>
          <w:szCs w:val="26"/>
        </w:rPr>
      </w:pPr>
    </w:p>
    <w:p w:rsidR="005A6EBC" w:rsidRPr="00216681" w:rsidRDefault="005A6EBC" w:rsidP="00216681">
      <w:pPr>
        <w:snapToGrid w:val="0"/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sz w:val="28"/>
          <w:szCs w:val="28"/>
        </w:rPr>
        <w:t xml:space="preserve">Уровень жизни горожан в настоящий и планируемые периоды характеризуется как относительно стабильный. Незначительный рост заработной платы прогнозируется во многих отраслях экономики города вследствие доведения размера МРОТ до прожиточного минимума. На территории города, в соответствии с Указом Президента Российской Федерации </w:t>
      </w:r>
      <w:r w:rsidRPr="00216681">
        <w:rPr>
          <w:sz w:val="28"/>
          <w:szCs w:val="28"/>
        </w:rPr>
        <w:lastRenderedPageBreak/>
        <w:t xml:space="preserve">от 7 мая 2012 года № 597 «О мероприятиях по реализации государственной социальной политики» продолжается реализация мер по достижению примерных (индикативных) значений соотношения средней заработной платы отдельных категорий работников муниципальных учреждений к средней заработной плате по ХМАО-Югре. Приняты «дорожные карты» – планы мероприятий в сферах образования, культуры, предусматривающие мероприятия, направленные на увеличение заработной платы работников. 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>Денежные доходы населения в 2018 году составили 17,91 млрд. руб., в 2019 году по оценке составят 18,81 млрд. руб., в 2024 году – 23,15 млрд. руб. по базовому варианту.</w:t>
      </w:r>
    </w:p>
    <w:p w:rsidR="005A6EBC" w:rsidRPr="00216681" w:rsidRDefault="005A6EBC" w:rsidP="00216681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В 2018 году среднедушевые денежные доходы населения составили 37 018,90 рублей в месяц, реальные денежные доходы н</w:t>
      </w:r>
      <w:r w:rsidR="00653D54" w:rsidRPr="00216681">
        <w:rPr>
          <w:sz w:val="28"/>
          <w:szCs w:val="28"/>
        </w:rPr>
        <w:t>аселения составили 97,18% к 2019</w:t>
      </w:r>
      <w:r w:rsidRPr="00216681">
        <w:rPr>
          <w:sz w:val="28"/>
          <w:szCs w:val="28"/>
        </w:rPr>
        <w:t xml:space="preserve"> году. Обязательства населения обслуживать кредиты, взятые в прошлые периоды, выступили дополнительной финансовой нагрузкой и снизили реально располагаемые доходы населения.</w:t>
      </w:r>
    </w:p>
    <w:p w:rsidR="005A6EBC" w:rsidRPr="00216681" w:rsidRDefault="005A6EBC" w:rsidP="00216681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sz w:val="28"/>
          <w:szCs w:val="28"/>
        </w:rPr>
        <w:tab/>
      </w:r>
      <w:r w:rsidRPr="00216681">
        <w:rPr>
          <w:bCs/>
          <w:sz w:val="28"/>
          <w:szCs w:val="28"/>
        </w:rPr>
        <w:t xml:space="preserve">Улучшение качества жизни населения является не только прогнозируемым положительным результатом, но и предпосылкой устойчивости социально- экономического развития города.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z w:val="28"/>
          <w:szCs w:val="28"/>
        </w:rPr>
      </w:pPr>
    </w:p>
    <w:p w:rsidR="005A6EBC" w:rsidRPr="00216681" w:rsidRDefault="005A6EBC" w:rsidP="005A6EBC">
      <w:pPr>
        <w:jc w:val="center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>Труд и занятость</w:t>
      </w:r>
    </w:p>
    <w:p w:rsidR="005A6EBC" w:rsidRPr="005A6EBC" w:rsidRDefault="005A6EBC" w:rsidP="005A6EBC">
      <w:pPr>
        <w:ind w:firstLine="720"/>
        <w:jc w:val="both"/>
        <w:rPr>
          <w:sz w:val="26"/>
          <w:szCs w:val="26"/>
        </w:rPr>
      </w:pP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Численность рабочей силы неразрывно зависит от половозрастного состава населения, от их желания и потенциальных возможностей повысить свои денежные доходы.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На конец 2018 года численность рабочей силы составила 25,60 тыс. человек. На 2019 год численность рабочей силы оценивается в размере 25,69 тыс. человек. В результате увеличения продолжительности здоровой жизни в совокупности с повышением пенсионного возраста возрастет уровень рабочей силы к 2024 году до 25,92 тыс. человек по базовому варианту (100,9% к 2019 году).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lastRenderedPageBreak/>
        <w:t xml:space="preserve">Численность занятых в экономике в 2018 году составила 21,77 тыс. человек населения, в 2019 году оценивается в 21,8 тыс. человек. К 2024 году численность данной категории составит 22,09 тыс. человек. Рост численности занятых в экономике обусловлен вводом объектов промышленности и социальной сферы, предусматривающим создание постоянных рабочих мест.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Среднесписочная численность работников организаций (без внешних совместителей) в 2018 году составила 15,79 тыс. человек, в 2019 году, по оценке, - 15,80 тыс. человек (рост 0,06%), к 2024 году – 15,85 тыс. человек (по базовому варианту, рост 0,32% к 2019 году.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В 2018 году, в результате реализации мероприятий муниципальной программы «Содействие занятости населения в муниципальном образовании городской округ город Пыть-Ях на 2018-2025 годы и на период до 2030 года», направленных на обеспечение государственных гарантий в области содействия занятости населения на территории муниципального образования городской округ город Пыть-Ях, создано 400 временных рабочих мест в муниципальных учреждениях, из них: 382 - для несовершеннолетних граждан в возрасте от  14 до 18 лет, 1 -  для граждан пенсионного возраста, 4 - для проведения общественных работ, 3 – для безработных граждан, испытывающих трудности в поиске работы, 1 - для граждан в возрасте от 18 до 20 лет,  имеющих среднее профессиональное образование и ищущих работу впервые,  9 выпускников образовательных организаций высшего образования  в возрасте до 25 лет прошли стажировку в муниципальных учреждениях города. Создано 4 дополнительных рабочих места, из них: 3 -  специальных рабочих места для инвалидов, трудоустроено 3 человека; 1 - рабочее место для незанятых многодетных родителей, трудоустроен 1 человек.</w:t>
      </w:r>
      <w:r w:rsidRPr="00216681">
        <w:rPr>
          <w:sz w:val="28"/>
          <w:szCs w:val="28"/>
        </w:rPr>
        <w:tab/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ab/>
        <w:t xml:space="preserve">Уровень регистрируемой безработицы в 2018 году составил 0,19% (в 2017 году 0,20%), коэффициент напряженности – 0,45 человек на 1 вакантное рабочее место (в 2017 году – 0,22). Реализация мероприятий государственной программы, а также отсутствие риска масштабного сокращения работников </w:t>
      </w:r>
      <w:r w:rsidRPr="00216681">
        <w:rPr>
          <w:sz w:val="28"/>
          <w:szCs w:val="28"/>
        </w:rPr>
        <w:lastRenderedPageBreak/>
        <w:t xml:space="preserve">предприятий позволит «удержать» уровень зарегистрированной безработицы к 2024 году на уровне 0,15% по базовому варианту. </w:t>
      </w:r>
      <w:r w:rsidRPr="00216681">
        <w:rPr>
          <w:sz w:val="28"/>
          <w:szCs w:val="28"/>
        </w:rPr>
        <w:tab/>
      </w:r>
    </w:p>
    <w:p w:rsidR="005A6EBC" w:rsidRPr="005A6EBC" w:rsidRDefault="005A6EBC" w:rsidP="005A6EBC">
      <w:pPr>
        <w:jc w:val="both"/>
        <w:rPr>
          <w:sz w:val="26"/>
          <w:szCs w:val="26"/>
        </w:rPr>
      </w:pPr>
    </w:p>
    <w:p w:rsidR="005A6EBC" w:rsidRPr="00216681" w:rsidRDefault="005A6EBC" w:rsidP="005A6EBC">
      <w:pPr>
        <w:jc w:val="center"/>
        <w:rPr>
          <w:sz w:val="28"/>
          <w:szCs w:val="28"/>
        </w:rPr>
      </w:pPr>
      <w:r w:rsidRPr="00216681">
        <w:rPr>
          <w:sz w:val="28"/>
          <w:szCs w:val="28"/>
        </w:rPr>
        <w:t>Демография</w:t>
      </w:r>
    </w:p>
    <w:p w:rsidR="005A6EBC" w:rsidRPr="005A6EBC" w:rsidRDefault="005A6EBC" w:rsidP="005A6EBC">
      <w:pPr>
        <w:jc w:val="both"/>
        <w:rPr>
          <w:sz w:val="26"/>
          <w:szCs w:val="26"/>
        </w:rPr>
      </w:pP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  <w:shd w:val="clear" w:color="auto" w:fill="FFFFFF"/>
        </w:rPr>
      </w:pPr>
      <w:r w:rsidRPr="00216681">
        <w:rPr>
          <w:sz w:val="28"/>
          <w:szCs w:val="28"/>
          <w:shd w:val="clear" w:color="auto" w:fill="FFFFFF"/>
        </w:rPr>
        <w:t>Формирование демографической ситуации города базируется на анализе состава половозрастной структуры населения, изменения естественного движения населения и миграционной ситуации. По оценке, в 2019 году среднегодовая численность населения составит 40,1 тыс. человек (100,1% к 2018 году). В связи с плавными колебаниями естественного прироста населения и оттоком миграции к 2024 году среднегодовая численность населения прогнозируется на уровне 40,45 тыс. человек (по базовому варианту).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Структурные изменения населения, обусловленные незначительным ростом числа женщин репродуктивного возраста, а также превышением числа родившихся над умершими, будут благоприятно влиять на коэффициент естественного прироста населения: в 2018 году – 8,59 на 1000 человек населения, к 2024 году составит 12,89 на 1000 человек населения (по базовому варианту).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На показатель продолжительности жизни будут оказывать положительное влияние системы формирования основ здорового образа жизни, доступность квалифицированной медицинской помощи, меры по снижению злоупотребления табакокурением и алкоголизмом. В результате ожидаемая продолжительность жизни прогнозируется на отметке 78 лет к 2024 году (74,3 лет в 2018 году).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Миграционная обстановка города характерна интенсивностью миграционных потоков, в большей степени выбывших, в связи с отсутствием на территории города средних и высших учебных заведений выпускники школ города, окончившие 9 и 11 классы, поступают на очную форму обучения в учебные заведения, находящиеся в крупных, инфраструктурно обеспеченных городах Российской Федерации (Тюмень, Екатеринбург и др.) и в дальнейшем остаются на постоянное место жительства, также население старше трудоспособного возраста, завершившие трудовую деятельность,  выезжают на </w:t>
      </w:r>
      <w:r w:rsidRPr="00216681">
        <w:rPr>
          <w:sz w:val="28"/>
          <w:szCs w:val="28"/>
        </w:rPr>
        <w:lastRenderedPageBreak/>
        <w:t>постоянное место жительства за пределы города и автономного округа в регионы с более благоприятными климатическими условиями.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В 2018 году зафиксирован коэффициент миграционной убыли (-)0,80 тысяч человек, в 2019 году оценивается (-) 0,03 тысяч человек. К 2024 году миграционный прирост (убыль) прогнозируется на (-) 0,34 тысяч человек (по базовому варианту). 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ab/>
        <w:t xml:space="preserve">В прогнозируемом периоде 2020-2024 годов в целом, демографическая обстановка города базируется на стабильном благоприятном социально-экономическом развитии города, без резких скачков и спадов.  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</w:p>
    <w:p w:rsidR="005A6EBC" w:rsidRPr="00216681" w:rsidRDefault="005A6EBC" w:rsidP="00216681">
      <w:pPr>
        <w:jc w:val="center"/>
        <w:rPr>
          <w:sz w:val="28"/>
          <w:szCs w:val="28"/>
        </w:rPr>
      </w:pPr>
      <w:r w:rsidRPr="00216681">
        <w:rPr>
          <w:sz w:val="28"/>
          <w:szCs w:val="28"/>
        </w:rPr>
        <w:t>Бюджет муниципального образования</w:t>
      </w:r>
    </w:p>
    <w:p w:rsidR="005A6EBC" w:rsidRPr="005A6EBC" w:rsidRDefault="005A6EBC" w:rsidP="005A6EBC">
      <w:pPr>
        <w:ind w:firstLine="720"/>
        <w:jc w:val="center"/>
        <w:rPr>
          <w:sz w:val="26"/>
          <w:szCs w:val="26"/>
        </w:rPr>
      </w:pPr>
    </w:p>
    <w:p w:rsidR="005A6EBC" w:rsidRPr="00216681" w:rsidRDefault="005A6EBC" w:rsidP="00216681">
      <w:pPr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Доходы бюджета муниципального образования на 2019 год утверждены решением Думы города от 14.12.2018 № 210 «О бюджете города Пыть-Яха на 2019 год и на плановый период 2020 и 2021 годов» в сумме 2 050,67 млн. рублей. С учётом всех внесённых изменений уточнённый объём доходов составил 3 570,6 млн. рублей. Прогнозные показатели на 2020- 2024 годы рассчитаны:</w:t>
      </w:r>
    </w:p>
    <w:p w:rsidR="005A6EBC" w:rsidRPr="00216681" w:rsidRDefault="005A6EBC" w:rsidP="00216681">
      <w:pPr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- на 2019 год в сумме 3 436,9 млн. рублей (базовый и консервативный);</w:t>
      </w:r>
    </w:p>
    <w:p w:rsidR="005A6EBC" w:rsidRPr="00216681" w:rsidRDefault="005A6EBC" w:rsidP="00216681">
      <w:pPr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- на 2020 год в сумме 3 498,0 млн. рублей (базовый и консервативный);</w:t>
      </w:r>
    </w:p>
    <w:p w:rsidR="005A6EBC" w:rsidRPr="00216681" w:rsidRDefault="005A6EBC" w:rsidP="00216681">
      <w:pPr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- на 2024 год в сумме 3 455,1 млн. рублей (базовый и консервативный).</w:t>
      </w:r>
    </w:p>
    <w:p w:rsidR="005A6EBC" w:rsidRPr="00216681" w:rsidRDefault="005A6EBC" w:rsidP="00216681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 w:rsidRPr="00216681">
        <w:rPr>
          <w:bCs/>
          <w:sz w:val="28"/>
          <w:szCs w:val="28"/>
          <w:lang w:eastAsia="en-US"/>
        </w:rPr>
        <w:t>Налоговые доходы муниципального образования сформированы, главным образом, за счет отчислений от федеральных и региональных налогов и сборов, в том числе налогов, предусмотренных специальными налоговыми режимами.</w:t>
      </w:r>
    </w:p>
    <w:p w:rsidR="005A6EBC" w:rsidRPr="00216681" w:rsidRDefault="005A6EBC" w:rsidP="00216681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 w:rsidRPr="00216681">
        <w:rPr>
          <w:bCs/>
          <w:sz w:val="28"/>
          <w:szCs w:val="28"/>
          <w:lang w:eastAsia="en-US"/>
        </w:rPr>
        <w:t>В соответствии с федеральным законодательством запланировано поступление в бюджет города:</w:t>
      </w:r>
    </w:p>
    <w:p w:rsidR="005A6EBC" w:rsidRPr="00216681" w:rsidRDefault="00216681" w:rsidP="00216681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-</w:t>
      </w:r>
      <w:r w:rsidR="005A6EBC" w:rsidRPr="00216681">
        <w:rPr>
          <w:bCs/>
          <w:sz w:val="28"/>
          <w:szCs w:val="28"/>
          <w:lang w:eastAsia="en-US"/>
        </w:rPr>
        <w:t>налога на доходы физических лиц – по нормативу 15%;</w:t>
      </w:r>
    </w:p>
    <w:p w:rsidR="005A6EBC" w:rsidRPr="00216681" w:rsidRDefault="00216681" w:rsidP="00216681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-</w:t>
      </w:r>
      <w:r w:rsidR="005A6EBC" w:rsidRPr="00216681">
        <w:rPr>
          <w:bCs/>
          <w:sz w:val="28"/>
          <w:szCs w:val="28"/>
          <w:lang w:eastAsia="en-US"/>
        </w:rPr>
        <w:t>единого налога на вмененный доход для отдельных видов деятельности – по нормативу 100%;</w:t>
      </w:r>
    </w:p>
    <w:p w:rsidR="005A6EBC" w:rsidRPr="00216681" w:rsidRDefault="00216681" w:rsidP="00216681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-</w:t>
      </w:r>
      <w:r w:rsidR="005A6EBC" w:rsidRPr="00216681">
        <w:rPr>
          <w:bCs/>
          <w:sz w:val="28"/>
          <w:szCs w:val="28"/>
          <w:lang w:eastAsia="en-US"/>
        </w:rPr>
        <w:t>единого сельскохозяйственного налога – по нормативу 100%;</w:t>
      </w:r>
    </w:p>
    <w:p w:rsidR="005A6EBC" w:rsidRPr="00216681" w:rsidRDefault="00216681" w:rsidP="00216681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-</w:t>
      </w:r>
      <w:r w:rsidR="005A6EBC" w:rsidRPr="00216681">
        <w:rPr>
          <w:bCs/>
          <w:sz w:val="28"/>
          <w:szCs w:val="28"/>
          <w:lang w:eastAsia="en-US"/>
        </w:rPr>
        <w:t>государственной пошлины – по нормативу 100%;</w:t>
      </w:r>
    </w:p>
    <w:p w:rsidR="005A6EBC" w:rsidRPr="00216681" w:rsidRDefault="00216681" w:rsidP="00216681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lastRenderedPageBreak/>
        <w:t>-</w:t>
      </w:r>
      <w:r w:rsidR="005A6EBC" w:rsidRPr="00216681">
        <w:rPr>
          <w:bCs/>
          <w:sz w:val="28"/>
          <w:szCs w:val="28"/>
          <w:lang w:eastAsia="en-US"/>
        </w:rPr>
        <w:t>налога, взимаемого в связи с применением патентной системы налогообложения – по нормативу 100%.</w:t>
      </w:r>
    </w:p>
    <w:p w:rsidR="005A6EBC" w:rsidRPr="00216681" w:rsidRDefault="005A6EBC" w:rsidP="00216681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 w:rsidRPr="00216681">
        <w:rPr>
          <w:bCs/>
          <w:sz w:val="28"/>
          <w:szCs w:val="28"/>
          <w:lang w:eastAsia="en-US"/>
        </w:rPr>
        <w:t>В соответствии с законом автономного округа от 10.11.2008 № 132-оз «О межбюджетных отношениях в Ханты-Мансийском автономном округе – Югре» спрогнозированы следующие налоговые доходы:</w:t>
      </w:r>
    </w:p>
    <w:p w:rsidR="005A6EBC" w:rsidRPr="00216681" w:rsidRDefault="00216681" w:rsidP="00216681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-</w:t>
      </w:r>
      <w:r w:rsidR="005A6EBC" w:rsidRPr="00216681">
        <w:rPr>
          <w:bCs/>
          <w:sz w:val="28"/>
          <w:szCs w:val="28"/>
          <w:lang w:eastAsia="en-US"/>
        </w:rPr>
        <w:t>налог на доходы физических лиц – по нормативу 20,5%;</w:t>
      </w:r>
    </w:p>
    <w:p w:rsidR="005A6EBC" w:rsidRPr="00216681" w:rsidRDefault="00216681" w:rsidP="00216681">
      <w:pPr>
        <w:spacing w:line="360" w:lineRule="auto"/>
        <w:ind w:firstLine="539"/>
        <w:jc w:val="both"/>
        <w:rPr>
          <w:bCs/>
          <w:sz w:val="28"/>
          <w:szCs w:val="28"/>
          <w:lang w:eastAsia="en-US"/>
        </w:rPr>
      </w:pPr>
      <w:r>
        <w:rPr>
          <w:bCs/>
          <w:sz w:val="26"/>
          <w:szCs w:val="26"/>
          <w:lang w:eastAsia="en-US"/>
        </w:rPr>
        <w:t>-</w:t>
      </w:r>
      <w:r w:rsidR="005A6EBC" w:rsidRPr="005A6EBC">
        <w:rPr>
          <w:bCs/>
          <w:sz w:val="26"/>
          <w:szCs w:val="26"/>
          <w:lang w:eastAsia="en-US"/>
        </w:rPr>
        <w:t xml:space="preserve">налог, взимаемый в связи с применением упрощенной системы </w:t>
      </w:r>
      <w:r w:rsidR="005A6EBC" w:rsidRPr="00216681">
        <w:rPr>
          <w:bCs/>
          <w:sz w:val="28"/>
          <w:szCs w:val="28"/>
          <w:lang w:eastAsia="en-US"/>
        </w:rPr>
        <w:t>налогообложения – по нормативу 100%;</w:t>
      </w:r>
    </w:p>
    <w:p w:rsidR="005A6EBC" w:rsidRPr="00216681" w:rsidRDefault="00216681" w:rsidP="00216681">
      <w:pPr>
        <w:spacing w:line="360" w:lineRule="auto"/>
        <w:ind w:firstLine="539"/>
        <w:jc w:val="both"/>
        <w:rPr>
          <w:bCs/>
          <w:sz w:val="28"/>
          <w:szCs w:val="28"/>
          <w:lang w:eastAsia="en-US"/>
        </w:rPr>
      </w:pPr>
      <w:r w:rsidRPr="00216681">
        <w:rPr>
          <w:bCs/>
          <w:sz w:val="28"/>
          <w:szCs w:val="28"/>
          <w:lang w:eastAsia="en-US"/>
        </w:rPr>
        <w:t>-</w:t>
      </w:r>
      <w:r w:rsidR="005A6EBC" w:rsidRPr="00216681">
        <w:rPr>
          <w:bCs/>
          <w:sz w:val="28"/>
          <w:szCs w:val="28"/>
          <w:lang w:eastAsia="en-US"/>
        </w:rPr>
        <w:t>акцизы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 – по нормативу 0,2000%.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z w:val="28"/>
          <w:szCs w:val="28"/>
          <w:lang w:eastAsia="en-US"/>
        </w:rPr>
      </w:pPr>
      <w:r w:rsidRPr="00216681">
        <w:rPr>
          <w:bCs/>
          <w:sz w:val="28"/>
          <w:szCs w:val="28"/>
          <w:lang w:eastAsia="en-US"/>
        </w:rPr>
        <w:t>Неналоговые доходы бюджета городского округа представлены доходами от использования имущества, находящегося в государственной и муниципальной собственности; платежами при пользовании природными ресурсами; доходами от продажи материальных и нематериальных активов; штрафами, санкциями, прочими неналоговыми доходами. При прогнозировании этих доходов за основу взяты данные администраторов доходов.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  <w:lang w:eastAsia="en-US"/>
        </w:rPr>
      </w:pPr>
      <w:r w:rsidRPr="00216681">
        <w:rPr>
          <w:bCs/>
          <w:sz w:val="28"/>
          <w:szCs w:val="28"/>
          <w:lang w:eastAsia="en-US"/>
        </w:rPr>
        <w:t xml:space="preserve">Объем безвозмездных поступлений </w:t>
      </w:r>
      <w:r w:rsidRPr="00216681">
        <w:rPr>
          <w:sz w:val="28"/>
          <w:szCs w:val="28"/>
          <w:lang w:eastAsia="en-US"/>
        </w:rPr>
        <w:t>утвержден решением Думы города от 14.12.2018 № 210 «О бюджете города Пыть-Яха на 2019 год и на плановый период 2020 и 2021 годов» в сумме 861,44 млн. рублей. С учётом всех внесённых изменений уточнённый объём расходов составил 2 365,2 млн. рублей. Прогнозные показатели на 2020- 2024 годы рассчитаны: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- на 2020 год в сумме 2 255,1 млн. рублей (базовый и консервативный);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- на 2021 год в сумме 2 313,3 млн. рублей (базовый и консервативный);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- на 2022-2024 годы в сумме 2 172,7 млн. рублей ежегодно (базовый и консервативный).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 xml:space="preserve">Расходы бюджета муниципального образования на 2019 год утверждены решением Думы города от 14.12.2018 № 210 «О бюджете города Пыть-Яха на 2019 год и на плановый период 2020 и 2021 годов» в сумме 3 833,2 млн. рублей.  </w:t>
      </w:r>
      <w:r w:rsidRPr="00216681">
        <w:rPr>
          <w:sz w:val="28"/>
          <w:szCs w:val="28"/>
          <w:lang w:eastAsia="en-US"/>
        </w:rPr>
        <w:lastRenderedPageBreak/>
        <w:t>С учётом всех внесённых изменений уточнённый объём расходов составил 5 383,3 млн. рублей. Прогнозные показатели на 2020- 2024 годы рассчитаны: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- на 2019 год в сумме 3 495,1 млн. рублей (базовый и консервативный);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- на 2020 год в сумме 3 553,6 млн. рублей (базовый и консервативный);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- на 2024 год в сумме 3 455,1 млн. рублей (базовый и консервативный).</w:t>
      </w:r>
    </w:p>
    <w:p w:rsidR="005A6EBC" w:rsidRPr="00216681" w:rsidRDefault="005A6EBC" w:rsidP="00216681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Формирование расходных обязательств бюджета города в проектировках на 2020 год и на плановый период 2021-2024 годов основано на подходах, при которых в качестве «базовых» по текущим расходам на 2020-2024 годы приняты утвержденные бюджетные ассигнования на 2019 год.</w:t>
      </w:r>
    </w:p>
    <w:p w:rsidR="005A6EBC" w:rsidRPr="00216681" w:rsidRDefault="005A6EBC" w:rsidP="00216681">
      <w:pPr>
        <w:autoSpaceDE w:val="0"/>
        <w:autoSpaceDN w:val="0"/>
        <w:adjustRightInd w:val="0"/>
        <w:spacing w:line="360" w:lineRule="auto"/>
        <w:ind w:firstLine="600"/>
        <w:jc w:val="both"/>
        <w:rPr>
          <w:sz w:val="28"/>
          <w:szCs w:val="28"/>
        </w:rPr>
      </w:pPr>
      <w:r w:rsidRPr="00216681">
        <w:rPr>
          <w:sz w:val="28"/>
          <w:szCs w:val="28"/>
          <w:lang w:eastAsia="en-US"/>
        </w:rPr>
        <w:t xml:space="preserve"> Кроме этого, на 2019-2021 годы включены расходы в сумме на 2019 год – 41,9 млн. рублей, на 2020 год – 344,3 млн. рублей и на 2021 год – 385,3 млн. рублей в соответствии с п</w:t>
      </w:r>
      <w:r w:rsidRPr="00216681">
        <w:rPr>
          <w:sz w:val="28"/>
          <w:szCs w:val="28"/>
        </w:rPr>
        <w:t>остановлением Правительства ХМАО - Югры от 30.11.2018 № 450-п «Об Адресной инвестиционной программе Ханты-Мансийского автономного округа - Югры на 2019 год и на плановый период 2020 и 2021 годов», в том числе по следующим объектам:</w:t>
      </w:r>
    </w:p>
    <w:p w:rsidR="005A6EBC" w:rsidRPr="00216681" w:rsidRDefault="005A6EBC" w:rsidP="00216681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- Реконструкция ВОС-1 (2-я очередь) г. Пыть-Ях на 2019 год – 41,9 млн. рублей, на 2020 год – 103,1 млн.рублей;</w:t>
      </w:r>
    </w:p>
    <w:p w:rsidR="005A6EBC" w:rsidRPr="00216681" w:rsidRDefault="005A6EBC" w:rsidP="0021668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</w:rPr>
        <w:t>- Реконструкция ВОС-</w:t>
      </w:r>
      <w:smartTag w:uri="urn:schemas-microsoft-com:office:smarttags" w:element="metricconverter">
        <w:smartTagPr>
          <w:attr w:name="ProductID" w:val="3 г"/>
        </w:smartTagPr>
        <w:r w:rsidRPr="00216681">
          <w:rPr>
            <w:sz w:val="28"/>
            <w:szCs w:val="28"/>
          </w:rPr>
          <w:t>3 г</w:t>
        </w:r>
      </w:smartTag>
      <w:r w:rsidRPr="00216681">
        <w:rPr>
          <w:sz w:val="28"/>
          <w:szCs w:val="28"/>
        </w:rPr>
        <w:t>. Пыть-Ях на 2020 год – 241,2 млн. рублей, на 2021 год – 385,3 млн. рублей.</w:t>
      </w:r>
    </w:p>
    <w:p w:rsidR="005A6EBC" w:rsidRPr="00216681" w:rsidRDefault="005A6EBC" w:rsidP="00216681">
      <w:pPr>
        <w:spacing w:line="360" w:lineRule="auto"/>
        <w:ind w:firstLine="828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Доля программных расходов в общей сумме расходов составила в 2018 году 99% или 3 924,3 млн. рублей, в 2019 -2024 годах доля программных расходов сохранится.</w:t>
      </w:r>
    </w:p>
    <w:p w:rsidR="005A6EBC" w:rsidRDefault="005A6EBC" w:rsidP="00216681">
      <w:pPr>
        <w:spacing w:line="360" w:lineRule="auto"/>
        <w:jc w:val="both"/>
        <w:rPr>
          <w:sz w:val="28"/>
          <w:szCs w:val="28"/>
          <w:lang w:eastAsia="en-US"/>
        </w:rPr>
      </w:pPr>
    </w:p>
    <w:p w:rsidR="00216681" w:rsidRPr="00216681" w:rsidRDefault="00216681" w:rsidP="00216681">
      <w:pPr>
        <w:spacing w:line="360" w:lineRule="auto"/>
        <w:jc w:val="both"/>
        <w:rPr>
          <w:sz w:val="28"/>
          <w:szCs w:val="28"/>
          <w:lang w:eastAsia="en-US"/>
        </w:rPr>
      </w:pPr>
    </w:p>
    <w:p w:rsidR="005A6EBC" w:rsidRPr="00216681" w:rsidRDefault="005A6EBC" w:rsidP="00216681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>Перечень основных проблемных вопросов развития муниципального образования, сдерживающих его социально-экономическое развитие</w:t>
      </w:r>
    </w:p>
    <w:p w:rsidR="005A6EBC" w:rsidRPr="00216681" w:rsidRDefault="005A6EBC" w:rsidP="00216681">
      <w:pPr>
        <w:spacing w:line="360" w:lineRule="auto"/>
        <w:ind w:firstLine="697"/>
        <w:jc w:val="both"/>
        <w:rPr>
          <w:sz w:val="28"/>
          <w:szCs w:val="28"/>
        </w:rPr>
      </w:pPr>
    </w:p>
    <w:p w:rsidR="005A6EBC" w:rsidRPr="00216681" w:rsidRDefault="005A6EBC" w:rsidP="00216681">
      <w:pPr>
        <w:spacing w:line="360" w:lineRule="auto"/>
        <w:ind w:firstLine="697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Основными проблемными вопросами развития города, влияющими на его социально-экономическое развитие, являются:</w:t>
      </w:r>
    </w:p>
    <w:p w:rsidR="005A6EBC" w:rsidRPr="00216681" w:rsidRDefault="005A6EBC" w:rsidP="00216681">
      <w:pPr>
        <w:spacing w:line="360" w:lineRule="auto"/>
        <w:jc w:val="both"/>
        <w:rPr>
          <w:sz w:val="28"/>
          <w:szCs w:val="28"/>
        </w:rPr>
      </w:pPr>
      <w:r w:rsidRPr="00216681">
        <w:rPr>
          <w:sz w:val="28"/>
          <w:szCs w:val="28"/>
        </w:rPr>
        <w:lastRenderedPageBreak/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 и балочных массивов;</w:t>
      </w:r>
    </w:p>
    <w:p w:rsidR="005A6EBC" w:rsidRPr="00216681" w:rsidRDefault="005A6EBC" w:rsidP="00216681">
      <w:pPr>
        <w:spacing w:line="360" w:lineRule="auto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- в социальной сфере – несоответствие помещений учреждений социальной направленности современным требованиям; </w:t>
      </w:r>
    </w:p>
    <w:p w:rsidR="005A6EBC" w:rsidRPr="00216681" w:rsidRDefault="005A6EBC" w:rsidP="00216681">
      <w:pPr>
        <w:spacing w:line="360" w:lineRule="auto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- в транспортной системе – завершение строительства автомобильной дороги от ул. Православная до Больничного комплекса с закольцовкой в пос. Горка;</w:t>
      </w:r>
    </w:p>
    <w:p w:rsidR="005A6EBC" w:rsidRPr="00216681" w:rsidRDefault="005A6EBC" w:rsidP="00216681">
      <w:pPr>
        <w:spacing w:line="360" w:lineRule="auto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- в жилищно-коммунальном комплексе – ветхость инженерных сетей; неплатежи населения за жилищно-коммунальные услуги; образование несанкционированных свалок; обеспечение жителей города чистой питьевой водой; отсутствие в городе ливневой канализации.</w:t>
      </w:r>
    </w:p>
    <w:p w:rsidR="005A6EBC" w:rsidRPr="00216681" w:rsidRDefault="005A6EBC" w:rsidP="00216681">
      <w:pPr>
        <w:spacing w:line="360" w:lineRule="auto"/>
        <w:ind w:firstLine="720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В целях решения вышеуказанных ограничений и проблем социально-экономического развития города реализуются комплексы мероприятий и мер, направленных на точное и скоординированное решение, в том числе по приоритетным направлениям, с акцентированием по узконаправленным вопросам.  </w:t>
      </w:r>
    </w:p>
    <w:p w:rsidR="00216681" w:rsidRDefault="005A6EBC" w:rsidP="00216681">
      <w:pPr>
        <w:spacing w:line="360" w:lineRule="auto"/>
        <w:ind w:firstLine="720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Прогноз социально-экономического развития города Пыть-Яха на 2020-2024 годы направлен на сохранение макроэкономической стабильности и повышения уровня и качества жизни населения города путем гарантирования стандартов жизнедеятельности с учетом целей, поставленных Президентом Российской Федерации (Указ Президента Российской Федерации от 7 мая </w:t>
      </w:r>
      <w:smartTag w:uri="urn:schemas-microsoft-com:office:smarttags" w:element="metricconverter">
        <w:smartTagPr>
          <w:attr w:name="ProductID" w:val="2018 г"/>
        </w:smartTagPr>
        <w:r w:rsidRPr="00216681">
          <w:rPr>
            <w:sz w:val="28"/>
            <w:szCs w:val="28"/>
          </w:rPr>
          <w:t>2018 г</w:t>
        </w:r>
      </w:smartTag>
      <w:r w:rsidRPr="00216681">
        <w:rPr>
          <w:sz w:val="28"/>
          <w:szCs w:val="28"/>
        </w:rPr>
        <w:t>. № 204 «О национальных целях и стратегичес</w:t>
      </w:r>
      <w:r w:rsidR="00216681">
        <w:rPr>
          <w:sz w:val="28"/>
          <w:szCs w:val="28"/>
        </w:rPr>
        <w:t xml:space="preserve">ких задачах развития Российской Федерации </w:t>
      </w:r>
      <w:r w:rsidRPr="00216681">
        <w:rPr>
          <w:sz w:val="28"/>
          <w:szCs w:val="28"/>
        </w:rPr>
        <w:t xml:space="preserve">на период до 2024 года»). </w:t>
      </w:r>
    </w:p>
    <w:p w:rsidR="00216681" w:rsidRDefault="00216681" w:rsidP="00216681">
      <w:pPr>
        <w:spacing w:line="360" w:lineRule="auto"/>
        <w:ind w:firstLine="720"/>
        <w:jc w:val="both"/>
        <w:rPr>
          <w:sz w:val="28"/>
          <w:szCs w:val="28"/>
        </w:rPr>
      </w:pPr>
    </w:p>
    <w:p w:rsidR="005A6EBC" w:rsidRPr="00216681" w:rsidRDefault="005A6EBC" w:rsidP="00216681">
      <w:pPr>
        <w:spacing w:line="360" w:lineRule="auto"/>
        <w:ind w:firstLine="720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 </w:t>
      </w:r>
    </w:p>
    <w:p w:rsidR="00152F85" w:rsidRPr="00884FF2" w:rsidRDefault="00152F85" w:rsidP="00003EA8">
      <w:pPr>
        <w:pStyle w:val="Footer"/>
        <w:rPr>
          <w:sz w:val="28"/>
          <w:szCs w:val="28"/>
        </w:rPr>
        <w:sectPr w:rsidR="00152F85" w:rsidRPr="00884FF2" w:rsidSect="006E0410">
          <w:headerReference w:type="even" r:id="rId8"/>
          <w:headerReference w:type="default" r:id="rId9"/>
          <w:headerReference w:type="first" r:id="rId10"/>
          <w:pgSz w:w="11906" w:h="16838" w:code="9"/>
          <w:pgMar w:top="1134" w:right="567" w:bottom="1134" w:left="1701" w:header="709" w:footer="709" w:gutter="0"/>
          <w:pgNumType w:start="350"/>
          <w:cols w:space="708"/>
          <w:titlePg/>
          <w:docGrid w:linePitch="360"/>
        </w:sectPr>
      </w:pPr>
    </w:p>
    <w:p w:rsidR="00AB1AA0" w:rsidRPr="00884FF2" w:rsidRDefault="00AB1AA0" w:rsidP="00AB1AA0">
      <w:pPr>
        <w:jc w:val="right"/>
        <w:rPr>
          <w:bCs/>
          <w:sz w:val="28"/>
          <w:szCs w:val="28"/>
        </w:rPr>
      </w:pPr>
      <w:r w:rsidRPr="00884FF2">
        <w:rPr>
          <w:bCs/>
        </w:rPr>
        <w:lastRenderedPageBreak/>
        <w:t xml:space="preserve">                                                                                                                                                                               </w:t>
      </w:r>
      <w:r w:rsidRPr="00884FF2">
        <w:rPr>
          <w:bCs/>
          <w:sz w:val="28"/>
          <w:szCs w:val="28"/>
        </w:rPr>
        <w:t>Приложение</w:t>
      </w:r>
      <w:r w:rsidR="00A92EDF">
        <w:rPr>
          <w:bCs/>
          <w:sz w:val="28"/>
          <w:szCs w:val="28"/>
        </w:rPr>
        <w:t xml:space="preserve"> №2</w:t>
      </w:r>
    </w:p>
    <w:p w:rsidR="00AB1AA0" w:rsidRPr="00884FF2" w:rsidRDefault="00AB1AA0" w:rsidP="00AB1AA0">
      <w:pPr>
        <w:jc w:val="right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к распоряжению администрации</w:t>
      </w:r>
    </w:p>
    <w:p w:rsidR="00AB1AA0" w:rsidRPr="00884FF2" w:rsidRDefault="00AB1AA0" w:rsidP="00AB1AA0">
      <w:pPr>
        <w:tabs>
          <w:tab w:val="left" w:pos="11160"/>
        </w:tabs>
        <w:jc w:val="right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 xml:space="preserve">  города Пыть-Яха</w:t>
      </w:r>
    </w:p>
    <w:p w:rsidR="0027156E" w:rsidRDefault="0027156E" w:rsidP="0027156E">
      <w:pPr>
        <w:pStyle w:val="Foo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от 04.09.2019 № 2050-ра</w:t>
      </w:r>
    </w:p>
    <w:p w:rsidR="00AB1AA0" w:rsidRPr="00884FF2" w:rsidRDefault="00AB1AA0" w:rsidP="00AB1AA0">
      <w:pPr>
        <w:jc w:val="center"/>
        <w:rPr>
          <w:b/>
        </w:rPr>
      </w:pPr>
    </w:p>
    <w:p w:rsidR="00AB1AA0" w:rsidRPr="00884FF2" w:rsidRDefault="00AB1AA0" w:rsidP="00AB1AA0">
      <w:pPr>
        <w:jc w:val="center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>Основные показатели прогноза социально-экономического развития</w:t>
      </w:r>
    </w:p>
    <w:p w:rsidR="00AB1AA0" w:rsidRPr="00884FF2" w:rsidRDefault="00AB1AA0" w:rsidP="00AB1AA0">
      <w:pPr>
        <w:jc w:val="center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>муниципального образования городской округ город Пыть-Ях на 20</w:t>
      </w:r>
      <w:r w:rsidR="00AA4294">
        <w:rPr>
          <w:bCs/>
          <w:sz w:val="28"/>
          <w:szCs w:val="28"/>
        </w:rPr>
        <w:t>20</w:t>
      </w:r>
      <w:r w:rsidR="00CA1BDE" w:rsidRPr="00884FF2">
        <w:rPr>
          <w:bCs/>
          <w:sz w:val="28"/>
          <w:szCs w:val="28"/>
        </w:rPr>
        <w:t xml:space="preserve"> год и на плановый период до 2024 года</w:t>
      </w:r>
    </w:p>
    <w:tbl>
      <w:tblPr>
        <w:tblW w:w="1559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993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884FF2" w:rsidRPr="007E6D50" w:rsidTr="003A07A3">
        <w:tc>
          <w:tcPr>
            <w:tcW w:w="709" w:type="dxa"/>
            <w:vMerge w:val="restart"/>
            <w:shd w:val="clear" w:color="auto" w:fill="auto"/>
          </w:tcPr>
          <w:p w:rsidR="001A7A70" w:rsidRPr="007E6D50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№№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1A7A70" w:rsidRPr="007E6D50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3" w:type="dxa"/>
            <w:vMerge w:val="restart"/>
            <w:shd w:val="clear" w:color="auto" w:fill="auto"/>
            <w:textDirection w:val="btLr"/>
          </w:tcPr>
          <w:p w:rsidR="001A7A70" w:rsidRPr="007E6D50" w:rsidRDefault="001A7A70" w:rsidP="00AE784A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Единицы измерения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1A7A70" w:rsidRPr="007E6D50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Отчет</w:t>
            </w:r>
          </w:p>
        </w:tc>
        <w:tc>
          <w:tcPr>
            <w:tcW w:w="851" w:type="dxa"/>
            <w:shd w:val="clear" w:color="auto" w:fill="auto"/>
          </w:tcPr>
          <w:p w:rsidR="001A7A70" w:rsidRPr="007E6D50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Оценка</w:t>
            </w:r>
          </w:p>
        </w:tc>
        <w:tc>
          <w:tcPr>
            <w:tcW w:w="8505" w:type="dxa"/>
            <w:gridSpan w:val="10"/>
            <w:shd w:val="clear" w:color="auto" w:fill="auto"/>
          </w:tcPr>
          <w:p w:rsidR="001A7A70" w:rsidRPr="007E6D50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Прогноз</w:t>
            </w:r>
          </w:p>
        </w:tc>
      </w:tr>
      <w:tr w:rsidR="00AA4294" w:rsidRPr="007E6D50" w:rsidTr="003A07A3">
        <w:tc>
          <w:tcPr>
            <w:tcW w:w="709" w:type="dxa"/>
            <w:vMerge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2017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DF1B37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2022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2023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2024</w:t>
            </w:r>
          </w:p>
        </w:tc>
      </w:tr>
      <w:tr w:rsidR="007B240C" w:rsidRPr="007E6D50" w:rsidTr="007B240C">
        <w:trPr>
          <w:cantSplit/>
          <w:trHeight w:val="1691"/>
        </w:trPr>
        <w:tc>
          <w:tcPr>
            <w:tcW w:w="709" w:type="dxa"/>
            <w:vMerge/>
            <w:shd w:val="clear" w:color="auto" w:fill="auto"/>
          </w:tcPr>
          <w:p w:rsidR="007B240C" w:rsidRPr="007E6D50" w:rsidRDefault="007B240C" w:rsidP="007B240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7B240C" w:rsidRPr="007E6D50" w:rsidRDefault="007B240C" w:rsidP="007B240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B240C" w:rsidRPr="007E6D50" w:rsidRDefault="007B240C" w:rsidP="007B240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B240C" w:rsidRPr="007E6D50" w:rsidRDefault="007B240C" w:rsidP="007B240C">
            <w:pPr>
              <w:ind w:left="-460" w:firstLine="46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B240C" w:rsidRPr="007E6D50" w:rsidRDefault="007B240C" w:rsidP="007B240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B240C" w:rsidRPr="007E6D50" w:rsidRDefault="007B240C" w:rsidP="007B240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textDirection w:val="btLr"/>
          </w:tcPr>
          <w:p w:rsidR="007B240C" w:rsidRPr="007E6D50" w:rsidRDefault="007B240C" w:rsidP="007B240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консервативный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7B240C" w:rsidRPr="007E6D50" w:rsidRDefault="007B240C" w:rsidP="007B240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базовый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7B240C" w:rsidRPr="007E6D50" w:rsidRDefault="007B240C" w:rsidP="007B240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консервативный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7B240C" w:rsidRPr="007E6D50" w:rsidRDefault="007B240C" w:rsidP="007B240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базовый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7B240C" w:rsidRPr="007E6D50" w:rsidRDefault="007B240C" w:rsidP="007B240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консервативный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7B240C" w:rsidRPr="007E6D50" w:rsidRDefault="007B240C" w:rsidP="007B240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базовый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7B240C" w:rsidRPr="007E6D50" w:rsidRDefault="007B240C" w:rsidP="007B240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консервативный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7B240C" w:rsidRPr="007E6D50" w:rsidRDefault="007B240C" w:rsidP="007B240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базовый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7B240C" w:rsidRPr="007E6D50" w:rsidRDefault="007B240C" w:rsidP="007B240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консервативный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7B240C" w:rsidRPr="007E6D50" w:rsidRDefault="007B240C" w:rsidP="007B240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базовый</w:t>
            </w:r>
          </w:p>
        </w:tc>
      </w:tr>
      <w:tr w:rsidR="00AA4294" w:rsidRPr="007E6D50" w:rsidTr="003A07A3">
        <w:trPr>
          <w:trHeight w:val="171"/>
        </w:trPr>
        <w:tc>
          <w:tcPr>
            <w:tcW w:w="709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FD20EB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18</w:t>
            </w:r>
          </w:p>
        </w:tc>
      </w:tr>
      <w:tr w:rsidR="00884FF2" w:rsidRPr="007E6D50" w:rsidTr="003A07A3">
        <w:tc>
          <w:tcPr>
            <w:tcW w:w="15594" w:type="dxa"/>
            <w:gridSpan w:val="16"/>
            <w:shd w:val="clear" w:color="auto" w:fill="auto"/>
          </w:tcPr>
          <w:p w:rsidR="004871C8" w:rsidRPr="007E6D50" w:rsidRDefault="009D354B" w:rsidP="00F9281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1.</w:t>
            </w:r>
            <w:r w:rsidR="00BC3FD9" w:rsidRPr="007E6D50">
              <w:rPr>
                <w:bCs/>
                <w:sz w:val="20"/>
                <w:szCs w:val="20"/>
              </w:rPr>
              <w:t>Демографические показатели</w:t>
            </w:r>
          </w:p>
        </w:tc>
      </w:tr>
      <w:tr w:rsidR="00AA4294" w:rsidRPr="007E6D50" w:rsidTr="003A07A3">
        <w:tc>
          <w:tcPr>
            <w:tcW w:w="709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1.1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ind w:right="-283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Численность населения среднегодовая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тыс.чел.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AA429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40,55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A429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40,</w:t>
            </w:r>
            <w:r w:rsidR="00AA4294" w:rsidRPr="007E6D50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A429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40,</w:t>
            </w:r>
            <w:r w:rsidR="00AA4294" w:rsidRPr="007E6D5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</w:t>
            </w:r>
            <w:r w:rsidR="00AA4294" w:rsidRPr="007E6D50">
              <w:rPr>
                <w:bCs/>
                <w:sz w:val="20"/>
                <w:szCs w:val="20"/>
              </w:rPr>
              <w:t>0,14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A429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40,</w:t>
            </w:r>
            <w:r w:rsidR="00AA4294" w:rsidRPr="007E6D50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</w:t>
            </w:r>
            <w:r w:rsidR="00AA4294" w:rsidRPr="007E6D50">
              <w:rPr>
                <w:bCs/>
                <w:sz w:val="20"/>
                <w:szCs w:val="20"/>
              </w:rPr>
              <w:t>0,08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A429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40,</w:t>
            </w:r>
            <w:r w:rsidR="00AA4294" w:rsidRPr="007E6D50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A429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40,</w:t>
            </w:r>
            <w:r w:rsidR="00AA4294" w:rsidRPr="007E6D50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A429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40,</w:t>
            </w:r>
            <w:r w:rsidR="00AA4294" w:rsidRPr="007E6D50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A429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40,</w:t>
            </w:r>
            <w:r w:rsidR="00AA4294" w:rsidRPr="007E6D50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A429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40,</w:t>
            </w:r>
            <w:r w:rsidR="00AA4294" w:rsidRPr="007E6D50">
              <w:rPr>
                <w:bCs/>
                <w:sz w:val="20"/>
                <w:szCs w:val="20"/>
              </w:rPr>
              <w:t>35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</w:t>
            </w:r>
            <w:r w:rsidR="00AA4294" w:rsidRPr="007E6D50">
              <w:rPr>
                <w:bCs/>
                <w:sz w:val="20"/>
                <w:szCs w:val="20"/>
              </w:rPr>
              <w:t>0,25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731446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</w:t>
            </w:r>
            <w:r w:rsidR="00731446" w:rsidRPr="007E6D50">
              <w:rPr>
                <w:bCs/>
                <w:sz w:val="20"/>
                <w:szCs w:val="20"/>
              </w:rPr>
              <w:t>0</w:t>
            </w:r>
            <w:r w:rsidRPr="007E6D50">
              <w:rPr>
                <w:bCs/>
                <w:sz w:val="20"/>
                <w:szCs w:val="20"/>
              </w:rPr>
              <w:t>,</w:t>
            </w:r>
            <w:r w:rsidR="00AA4294" w:rsidRPr="007E6D50">
              <w:rPr>
                <w:bCs/>
                <w:sz w:val="20"/>
                <w:szCs w:val="20"/>
              </w:rPr>
              <w:t>45</w:t>
            </w:r>
          </w:p>
        </w:tc>
      </w:tr>
      <w:tr w:rsidR="00AA4294" w:rsidRPr="007E6D50" w:rsidTr="003A07A3">
        <w:tc>
          <w:tcPr>
            <w:tcW w:w="709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1.2.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Темп роста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предыдущему году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15B4F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99,27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E33FB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98,79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E33FB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E33FB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E33FB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</w:t>
            </w:r>
            <w:r w:rsidR="00E33FB4" w:rsidRPr="007E6D50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E33FB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99,85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E33FB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100,12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E33FB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100,27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E33FB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100,12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E33FB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99,95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824B2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100,12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824B2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100,20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824B2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100,25</w:t>
            </w:r>
          </w:p>
        </w:tc>
      </w:tr>
      <w:tr w:rsidR="00AA4294" w:rsidRPr="007E6D50" w:rsidTr="004D2AB7">
        <w:trPr>
          <w:trHeight w:val="799"/>
        </w:trPr>
        <w:tc>
          <w:tcPr>
            <w:tcW w:w="709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1.3.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Ожидаемая продолжительность жизни при рождении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число лет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73,87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74,30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74,60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74,91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75,39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76,25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717680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76,</w:t>
            </w:r>
            <w:r w:rsidR="00717680" w:rsidRPr="007E6D50">
              <w:rPr>
                <w:bCs/>
                <w:sz w:val="20"/>
                <w:szCs w:val="20"/>
              </w:rPr>
              <w:t>90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77,00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77,20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77,40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77,50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78,00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78,00</w:t>
            </w:r>
          </w:p>
        </w:tc>
      </w:tr>
      <w:tr w:rsidR="00884FF2" w:rsidRPr="007E6D50" w:rsidTr="003A07A3">
        <w:tc>
          <w:tcPr>
            <w:tcW w:w="15594" w:type="dxa"/>
            <w:gridSpan w:val="16"/>
            <w:shd w:val="clear" w:color="auto" w:fill="auto"/>
          </w:tcPr>
          <w:p w:rsidR="00F80D8C" w:rsidRPr="007E6D50" w:rsidRDefault="009D354B" w:rsidP="009D354B">
            <w:pPr>
              <w:tabs>
                <w:tab w:val="left" w:pos="6012"/>
              </w:tabs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 xml:space="preserve">2. </w:t>
            </w:r>
            <w:r w:rsidR="00F80D8C" w:rsidRPr="007E6D50">
              <w:rPr>
                <w:bCs/>
                <w:sz w:val="20"/>
                <w:szCs w:val="20"/>
              </w:rPr>
              <w:t>Промышленное производство</w:t>
            </w:r>
          </w:p>
        </w:tc>
      </w:tr>
      <w:tr w:rsidR="00AA4294" w:rsidRPr="007E6D50" w:rsidTr="003A07A3">
        <w:trPr>
          <w:cantSplit/>
          <w:trHeight w:val="1043"/>
        </w:trPr>
        <w:tc>
          <w:tcPr>
            <w:tcW w:w="709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2.1.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5F2D4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 xml:space="preserve">Объем отгруженных товаров собственного производства, выполненных работ и услуг собственными силами 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20 963,18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24 385,80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5F2D49" w:rsidP="005F2D49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25 531,93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25 787,25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26 400,02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26 973,47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27 429,62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28 187,27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28 526,80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29 427,51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29 724,93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30 722,32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31 062,55</w:t>
            </w:r>
          </w:p>
        </w:tc>
      </w:tr>
      <w:tr w:rsidR="00AA4294" w:rsidRPr="007E6D50" w:rsidTr="003A07A3">
        <w:tc>
          <w:tcPr>
            <w:tcW w:w="709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2.2.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предыдущему году в сопостав</w:t>
            </w:r>
            <w:r w:rsidRPr="007E6D50">
              <w:rPr>
                <w:bCs/>
                <w:sz w:val="20"/>
                <w:szCs w:val="20"/>
              </w:rPr>
              <w:lastRenderedPageBreak/>
              <w:t>имых ценах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lastRenderedPageBreak/>
              <w:t>142,0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103,96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100,77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102,96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100,58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100,58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100,58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100,38</w:t>
            </w:r>
          </w:p>
        </w:tc>
      </w:tr>
      <w:tr w:rsidR="00884FF2" w:rsidRPr="007E6D50" w:rsidTr="003A07A3">
        <w:tc>
          <w:tcPr>
            <w:tcW w:w="15594" w:type="dxa"/>
            <w:gridSpan w:val="16"/>
            <w:shd w:val="clear" w:color="auto" w:fill="auto"/>
          </w:tcPr>
          <w:p w:rsidR="00C21A67" w:rsidRPr="007E6D50" w:rsidRDefault="005F2D49" w:rsidP="005F2D49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Индексы производства по видам экономической деятельности</w:t>
            </w:r>
          </w:p>
        </w:tc>
      </w:tr>
      <w:tr w:rsidR="00AA4294" w:rsidRPr="007E6D50" w:rsidTr="003A07A3">
        <w:tc>
          <w:tcPr>
            <w:tcW w:w="709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2.3.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0C530A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Добыча полезных ископаемых (раздел B)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105,70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C530A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98,19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</w:t>
            </w:r>
            <w:r w:rsidR="000C530A" w:rsidRPr="007E6D50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108,31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103,87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100,58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101,97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100,48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101,97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100,39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101,76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101,66</w:t>
            </w:r>
          </w:p>
        </w:tc>
      </w:tr>
      <w:tr w:rsidR="00AA4294" w:rsidRPr="007E6D50" w:rsidTr="003A07A3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2.4</w:t>
            </w:r>
            <w:r w:rsidR="00C11624" w:rsidRPr="007E6D50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0C530A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Обрабатывающие производства (раздел C)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298,25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025A2" w:rsidP="005025A2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86,87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</w:t>
            </w:r>
            <w:r w:rsidR="005025A2" w:rsidRPr="007E6D50">
              <w:rPr>
                <w:bCs/>
                <w:sz w:val="20"/>
                <w:szCs w:val="20"/>
              </w:rPr>
              <w:t>00,29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101,68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100,39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100,38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100,29</w:t>
            </w:r>
          </w:p>
        </w:tc>
      </w:tr>
      <w:tr w:rsidR="00AA4294" w:rsidRPr="007E6D50" w:rsidTr="003A07A3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C11624" w:rsidRPr="007E6D50" w:rsidRDefault="0034196C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2.5</w:t>
            </w:r>
            <w:r w:rsidR="00C11624" w:rsidRPr="007E6D50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34196C" w:rsidRPr="007E6D50" w:rsidRDefault="0034196C" w:rsidP="0034196C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Обеспечение электрической энергией, газом и паром;</w:t>
            </w:r>
          </w:p>
          <w:p w:rsidR="00C11624" w:rsidRPr="007E6D50" w:rsidRDefault="0034196C" w:rsidP="0034196C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кондиционирование воздуха (раздел D)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4196C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96,40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4196C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106,09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4196C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4196C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4196C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</w:t>
            </w:r>
            <w:r w:rsidR="00C11624" w:rsidRPr="007E6D5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4196C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</w:t>
            </w:r>
            <w:r w:rsidR="00C11624" w:rsidRPr="007E6D5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4196C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</w:t>
            </w:r>
            <w:r w:rsidR="00C11624" w:rsidRPr="007E6D5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4196C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</w:t>
            </w:r>
            <w:r w:rsidR="00C11624" w:rsidRPr="007E6D5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</w:t>
            </w:r>
            <w:r w:rsidR="0034196C" w:rsidRPr="007E6D50">
              <w:rPr>
                <w:bCs/>
                <w:sz w:val="20"/>
                <w:szCs w:val="20"/>
              </w:rPr>
              <w:t>,0</w:t>
            </w:r>
            <w:r w:rsidRPr="007E6D5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4196C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</w:t>
            </w:r>
            <w:r w:rsidR="00C11624" w:rsidRPr="007E6D5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</w:t>
            </w:r>
            <w:r w:rsidR="0034196C" w:rsidRPr="007E6D50">
              <w:rPr>
                <w:bCs/>
                <w:sz w:val="20"/>
                <w:szCs w:val="20"/>
              </w:rPr>
              <w:t>0</w:t>
            </w:r>
            <w:r w:rsidRPr="007E6D5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</w:t>
            </w:r>
            <w:r w:rsidR="0034196C" w:rsidRPr="007E6D50">
              <w:rPr>
                <w:bCs/>
                <w:sz w:val="20"/>
                <w:szCs w:val="20"/>
              </w:rPr>
              <w:t>00,0</w:t>
            </w:r>
            <w:r w:rsidRPr="007E6D5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4196C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</w:t>
            </w:r>
            <w:r w:rsidR="00C11624" w:rsidRPr="007E6D50">
              <w:rPr>
                <w:bCs/>
                <w:sz w:val="20"/>
                <w:szCs w:val="20"/>
              </w:rPr>
              <w:t>0</w:t>
            </w:r>
          </w:p>
        </w:tc>
      </w:tr>
      <w:tr w:rsidR="00AA4294" w:rsidRPr="007E6D50" w:rsidTr="003A07A3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C11624" w:rsidRPr="007E6D50" w:rsidRDefault="0034196C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2.6.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34196C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Водоснабжение; водоотведение, организация сбора и утилизации отходов, деятельность по ликвидации загрязнений (раздел E)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50C9F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90,10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50C9F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104,45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50C9F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100,58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C50C9F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</w:t>
            </w:r>
            <w:r w:rsidR="00C50C9F" w:rsidRPr="007E6D50">
              <w:rPr>
                <w:bCs/>
                <w:sz w:val="20"/>
                <w:szCs w:val="20"/>
              </w:rPr>
              <w:t>1</w:t>
            </w:r>
            <w:r w:rsidRPr="007E6D5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C50C9F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</w:t>
            </w:r>
            <w:r w:rsidR="00C50C9F" w:rsidRPr="007E6D50">
              <w:rPr>
                <w:bCs/>
                <w:sz w:val="20"/>
                <w:szCs w:val="20"/>
              </w:rPr>
              <w:t>0</w:t>
            </w:r>
            <w:r w:rsidRPr="007E6D50">
              <w:rPr>
                <w:bCs/>
                <w:sz w:val="20"/>
                <w:szCs w:val="20"/>
              </w:rPr>
              <w:t>,</w:t>
            </w:r>
            <w:r w:rsidR="00C50C9F" w:rsidRPr="007E6D50">
              <w:rPr>
                <w:bCs/>
                <w:sz w:val="20"/>
                <w:szCs w:val="20"/>
              </w:rPr>
              <w:t>1</w:t>
            </w:r>
            <w:r w:rsidRPr="007E6D5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C50C9F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</w:t>
            </w:r>
            <w:r w:rsidR="00C50C9F" w:rsidRPr="007E6D50">
              <w:rPr>
                <w:bCs/>
                <w:sz w:val="20"/>
                <w:szCs w:val="20"/>
              </w:rPr>
              <w:t>0</w:t>
            </w:r>
            <w:r w:rsidRPr="007E6D50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C50C9F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</w:t>
            </w:r>
            <w:r w:rsidR="00C50C9F" w:rsidRPr="007E6D50">
              <w:rPr>
                <w:bCs/>
                <w:sz w:val="20"/>
                <w:szCs w:val="20"/>
              </w:rPr>
              <w:t>0</w:t>
            </w:r>
            <w:r w:rsidRPr="007E6D50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C50C9F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</w:t>
            </w:r>
            <w:r w:rsidR="00C50C9F" w:rsidRPr="007E6D50">
              <w:rPr>
                <w:bCs/>
                <w:sz w:val="20"/>
                <w:szCs w:val="20"/>
              </w:rPr>
              <w:t>0</w:t>
            </w:r>
            <w:r w:rsidRPr="007E6D50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C50C9F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</w:t>
            </w:r>
            <w:r w:rsidR="00C50C9F" w:rsidRPr="007E6D50">
              <w:rPr>
                <w:bCs/>
                <w:sz w:val="20"/>
                <w:szCs w:val="20"/>
              </w:rPr>
              <w:t>0</w:t>
            </w:r>
            <w:r w:rsidRPr="007E6D50">
              <w:rPr>
                <w:bCs/>
                <w:sz w:val="20"/>
                <w:szCs w:val="20"/>
              </w:rPr>
              <w:t>,00</w:t>
            </w:r>
          </w:p>
        </w:tc>
      </w:tr>
      <w:tr w:rsidR="00884FF2" w:rsidRPr="007E6D50" w:rsidTr="007E6D50">
        <w:tc>
          <w:tcPr>
            <w:tcW w:w="15594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:rsidR="006D3440" w:rsidRPr="007E6D50" w:rsidRDefault="00102A8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</w:t>
            </w:r>
            <w:r w:rsidR="006D3440" w:rsidRPr="007E6D50">
              <w:rPr>
                <w:bCs/>
                <w:sz w:val="20"/>
                <w:szCs w:val="20"/>
              </w:rPr>
              <w:t>. Сельское хозяйство</w:t>
            </w:r>
          </w:p>
        </w:tc>
      </w:tr>
      <w:tr w:rsidR="00AA4294" w:rsidRPr="007E6D50" w:rsidTr="007E6D50">
        <w:trPr>
          <w:cantSplit/>
          <w:trHeight w:val="83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</w:t>
            </w:r>
            <w:r w:rsidR="00C11624" w:rsidRPr="007E6D50">
              <w:rPr>
                <w:bCs/>
                <w:sz w:val="20"/>
                <w:szCs w:val="20"/>
              </w:rPr>
              <w:t>.1.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Продукция сельского хозяйства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227,88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229,00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237,22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246,34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245,08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255,57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253,68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265,20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262,99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275,20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273,00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285,19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283,57</w:t>
            </w:r>
          </w:p>
        </w:tc>
      </w:tr>
      <w:tr w:rsidR="00AA4294" w:rsidRPr="007E6D50" w:rsidTr="007E6D50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lastRenderedPageBreak/>
              <w:t>3</w:t>
            </w:r>
            <w:r w:rsidR="00C11624" w:rsidRPr="007E6D50">
              <w:rPr>
                <w:bCs/>
                <w:sz w:val="20"/>
                <w:szCs w:val="20"/>
              </w:rPr>
              <w:t>.2.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Индекс производства продукции сельского хозяйства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118,90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100,39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100,07</w:t>
            </w:r>
          </w:p>
        </w:tc>
      </w:tr>
      <w:tr w:rsidR="00884FF2" w:rsidRPr="007E6D50" w:rsidTr="007E6D50">
        <w:trPr>
          <w:trHeight w:val="278"/>
        </w:trPr>
        <w:tc>
          <w:tcPr>
            <w:tcW w:w="15594" w:type="dxa"/>
            <w:gridSpan w:val="16"/>
            <w:tcBorders>
              <w:top w:val="single" w:sz="4" w:space="0" w:color="auto"/>
            </w:tcBorders>
            <w:shd w:val="clear" w:color="auto" w:fill="auto"/>
          </w:tcPr>
          <w:p w:rsidR="00583A3C" w:rsidRPr="007E6D50" w:rsidRDefault="00102A8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</w:t>
            </w:r>
            <w:r w:rsidR="00A353C1" w:rsidRPr="007E6D50">
              <w:rPr>
                <w:bCs/>
                <w:sz w:val="20"/>
                <w:szCs w:val="20"/>
              </w:rPr>
              <w:t>. Строительство</w:t>
            </w:r>
          </w:p>
        </w:tc>
      </w:tr>
      <w:tr w:rsidR="00AA4294" w:rsidRPr="007E6D50" w:rsidTr="003A07A3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C11624" w:rsidRPr="007E6D50" w:rsidRDefault="00102A8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</w:t>
            </w:r>
            <w:r w:rsidR="00C11624" w:rsidRPr="007E6D50">
              <w:rPr>
                <w:bCs/>
                <w:sz w:val="20"/>
                <w:szCs w:val="20"/>
              </w:rPr>
              <w:t>.1.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7C077D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Объем работ, выполненных по виду деятельности "Строительство"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в ценах соответствующих лет; млн руб.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1 996,00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2099,79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2 219,48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2 343,77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2 341,55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2 470,33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2 468,00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2 603,73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2 593,86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2 741,73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2 728,74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2 884,30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2 873,37</w:t>
            </w:r>
          </w:p>
        </w:tc>
      </w:tr>
      <w:tr w:rsidR="00AA4294" w:rsidRPr="007E6D50" w:rsidTr="003A07A3">
        <w:tc>
          <w:tcPr>
            <w:tcW w:w="709" w:type="dxa"/>
            <w:shd w:val="clear" w:color="auto" w:fill="auto"/>
          </w:tcPr>
          <w:p w:rsidR="00C11624" w:rsidRPr="007E6D50" w:rsidRDefault="00102A8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</w:t>
            </w:r>
            <w:r w:rsidR="00C11624" w:rsidRPr="007E6D50">
              <w:rPr>
                <w:bCs/>
                <w:sz w:val="20"/>
                <w:szCs w:val="20"/>
              </w:rPr>
              <w:t>.2.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7C077D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Ввод в действие жилых домов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тыс. кв. м общей площади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26,88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12,12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40,00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37,00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37,00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30,00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30,00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21,00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21,00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25,00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25,00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23,00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23,00</w:t>
            </w:r>
          </w:p>
        </w:tc>
      </w:tr>
      <w:tr w:rsidR="00884FF2" w:rsidRPr="007E6D50" w:rsidTr="003A07A3">
        <w:tc>
          <w:tcPr>
            <w:tcW w:w="15594" w:type="dxa"/>
            <w:gridSpan w:val="16"/>
            <w:shd w:val="clear" w:color="auto" w:fill="auto"/>
          </w:tcPr>
          <w:p w:rsidR="000E171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</w:t>
            </w:r>
            <w:r w:rsidR="00E22308" w:rsidRPr="007E6D50">
              <w:rPr>
                <w:bCs/>
                <w:sz w:val="20"/>
                <w:szCs w:val="20"/>
              </w:rPr>
              <w:t>. Торговля и услуги населению</w:t>
            </w:r>
          </w:p>
        </w:tc>
      </w:tr>
      <w:tr w:rsidR="00AA4294" w:rsidRPr="007E6D50" w:rsidTr="004D2AB7">
        <w:trPr>
          <w:cantSplit/>
          <w:trHeight w:val="993"/>
        </w:trPr>
        <w:tc>
          <w:tcPr>
            <w:tcW w:w="709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</w:t>
            </w:r>
            <w:r w:rsidR="00C11624" w:rsidRPr="007E6D50">
              <w:rPr>
                <w:bCs/>
                <w:sz w:val="20"/>
                <w:szCs w:val="20"/>
              </w:rPr>
              <w:t>.1.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Оборот розничной торговли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5 737,85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5 915,72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6 223,34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6 459,83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6 447,38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6 711,76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6 698,83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6 973,52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6 960,08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7 259,43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7 238,49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7 549,81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7 528,03</w:t>
            </w:r>
          </w:p>
        </w:tc>
      </w:tr>
      <w:tr w:rsidR="00AA4294" w:rsidRPr="007E6D50" w:rsidTr="003A07A3">
        <w:tc>
          <w:tcPr>
            <w:tcW w:w="709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</w:t>
            </w:r>
            <w:r w:rsidR="00C11624" w:rsidRPr="007E6D50">
              <w:rPr>
                <w:bCs/>
                <w:sz w:val="20"/>
                <w:szCs w:val="20"/>
              </w:rPr>
              <w:t>.2.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Индекс физического объема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102,00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100,59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</w:tr>
      <w:tr w:rsidR="00AA4294" w:rsidRPr="007E6D50" w:rsidTr="004D2AB7">
        <w:trPr>
          <w:cantSplit/>
          <w:trHeight w:val="933"/>
        </w:trPr>
        <w:tc>
          <w:tcPr>
            <w:tcW w:w="709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5.3</w:t>
            </w:r>
            <w:r w:rsidR="00C11624" w:rsidRPr="007E6D50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Объем платных услуг населению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1 743,96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1 811,97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1 895,33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1 984,41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1 974,93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2 071,72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2 061,83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2 160,80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2 152,55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2 251,56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2 242,95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2 343,87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2 334,91</w:t>
            </w:r>
          </w:p>
        </w:tc>
      </w:tr>
      <w:tr w:rsidR="00AA4294" w:rsidRPr="007E6D50" w:rsidTr="003A07A3">
        <w:tc>
          <w:tcPr>
            <w:tcW w:w="709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5.4</w:t>
            </w:r>
            <w:r w:rsidR="00C11624" w:rsidRPr="007E6D50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Индекс физического объема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100,93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3A07A3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99,81</w:t>
            </w:r>
          </w:p>
        </w:tc>
      </w:tr>
      <w:tr w:rsidR="005C60A4" w:rsidRPr="007E6D50" w:rsidTr="0042117D">
        <w:tc>
          <w:tcPr>
            <w:tcW w:w="15594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:rsidR="005C60A4" w:rsidRPr="007E6D50" w:rsidRDefault="005C60A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6. Малое и среднее предпринимательство</w:t>
            </w:r>
          </w:p>
        </w:tc>
      </w:tr>
      <w:tr w:rsidR="005C60A4" w:rsidRPr="007E6D50" w:rsidTr="004211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lastRenderedPageBreak/>
              <w:t>6.1.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Количество малых и средних предприятий, включая микропредприятия (на конец года)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380,00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410,00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410,00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450,00</w:t>
            </w:r>
          </w:p>
        </w:tc>
      </w:tr>
      <w:tr w:rsidR="005C60A4" w:rsidRPr="007E6D50" w:rsidTr="004211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6.2.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Оборот малых и средних предприятий, включая микропредприятия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млрд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</w:tr>
      <w:tr w:rsidR="00884FF2" w:rsidRPr="007E6D50" w:rsidTr="0042117D">
        <w:tc>
          <w:tcPr>
            <w:tcW w:w="15594" w:type="dxa"/>
            <w:gridSpan w:val="16"/>
            <w:tcBorders>
              <w:top w:val="single" w:sz="4" w:space="0" w:color="auto"/>
            </w:tcBorders>
            <w:shd w:val="clear" w:color="auto" w:fill="auto"/>
          </w:tcPr>
          <w:p w:rsidR="00C121C4" w:rsidRPr="007E6D50" w:rsidRDefault="005C60A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</w:t>
            </w:r>
            <w:r w:rsidR="00C121C4" w:rsidRPr="007E6D50">
              <w:rPr>
                <w:bCs/>
                <w:sz w:val="20"/>
                <w:szCs w:val="20"/>
              </w:rPr>
              <w:t>. Инвестиции</w:t>
            </w:r>
          </w:p>
        </w:tc>
      </w:tr>
      <w:tr w:rsidR="00AA4294" w:rsidRPr="007E6D50" w:rsidTr="004D2AB7">
        <w:trPr>
          <w:cantSplit/>
          <w:trHeight w:val="937"/>
        </w:trPr>
        <w:tc>
          <w:tcPr>
            <w:tcW w:w="709" w:type="dxa"/>
            <w:shd w:val="clear" w:color="auto" w:fill="auto"/>
          </w:tcPr>
          <w:p w:rsidR="00C11624" w:rsidRPr="007E6D50" w:rsidRDefault="00075678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</w:t>
            </w:r>
            <w:r w:rsidR="00C11624" w:rsidRPr="007E6D50">
              <w:rPr>
                <w:bCs/>
                <w:sz w:val="20"/>
                <w:szCs w:val="20"/>
              </w:rPr>
              <w:t>.1.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Инвестиции в основной капитал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4 317,60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5 108,68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3 162,36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3 047,40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3 082,07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2 698,67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2 732,70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1 537,80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1 593,20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934,17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968,49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1 953,49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1 989,43</w:t>
            </w:r>
          </w:p>
        </w:tc>
      </w:tr>
      <w:tr w:rsidR="00AA4294" w:rsidRPr="007E6D50" w:rsidTr="00075678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C11624" w:rsidRPr="007E6D50" w:rsidRDefault="00075678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</w:t>
            </w:r>
            <w:r w:rsidR="00C11624" w:rsidRPr="007E6D50">
              <w:rPr>
                <w:bCs/>
                <w:sz w:val="20"/>
                <w:szCs w:val="20"/>
              </w:rPr>
              <w:t>.2.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Индекс физического объема инвестиций в основной капитал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131,87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112,37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58,90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92,48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93,71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84,99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85,17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54,74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56,01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58,35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58,39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201,07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197,14</w:t>
            </w:r>
          </w:p>
        </w:tc>
      </w:tr>
      <w:tr w:rsidR="00AA4294" w:rsidRPr="007E6D50" w:rsidTr="003A07A3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C11624" w:rsidRPr="007E6D50" w:rsidRDefault="00075678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</w:t>
            </w:r>
            <w:r w:rsidR="00C11624" w:rsidRPr="007E6D50">
              <w:rPr>
                <w:bCs/>
                <w:sz w:val="20"/>
                <w:szCs w:val="20"/>
              </w:rPr>
              <w:t>.3.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Объем инвестиций в основной капитал за счет всех источников финансирования (без субъектов малого предпринимательства и объемов инвестиций, не наблюдаемых прямыми статистическими методами) - всего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3 924,60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3 607,93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2 847,88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2 770,36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2 801,88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2 453,33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2 484,27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1 398,00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1 448,36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849,25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880,45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1 775,90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1 808,57</w:t>
            </w:r>
          </w:p>
        </w:tc>
      </w:tr>
      <w:tr w:rsidR="00075678" w:rsidRPr="007E6D50" w:rsidTr="008E6AE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075678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7.4.</w:t>
            </w:r>
          </w:p>
        </w:tc>
        <w:tc>
          <w:tcPr>
            <w:tcW w:w="2835" w:type="dxa"/>
            <w:shd w:val="clear" w:color="auto" w:fill="auto"/>
          </w:tcPr>
          <w:p w:rsidR="00075678" w:rsidRPr="007E6D50" w:rsidRDefault="00075678" w:rsidP="00075678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Привлеченные средства,</w:t>
            </w:r>
          </w:p>
          <w:p w:rsidR="00075678" w:rsidRPr="007E6D50" w:rsidRDefault="00075678" w:rsidP="00075678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из них:</w:t>
            </w:r>
          </w:p>
        </w:tc>
        <w:tc>
          <w:tcPr>
            <w:tcW w:w="993" w:type="dxa"/>
            <w:shd w:val="clear" w:color="auto" w:fill="auto"/>
          </w:tcPr>
          <w:p w:rsidR="00075678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187,51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15,80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112,85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501,18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501,18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514,34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514,34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100,00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100,00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49,00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49,00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5,00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5,00</w:t>
            </w:r>
          </w:p>
        </w:tc>
      </w:tr>
      <w:tr w:rsidR="00075678" w:rsidRPr="007E6D50" w:rsidTr="004D2AB7">
        <w:trPr>
          <w:cantSplit/>
          <w:trHeight w:val="1200"/>
        </w:trPr>
        <w:tc>
          <w:tcPr>
            <w:tcW w:w="709" w:type="dxa"/>
            <w:shd w:val="clear" w:color="auto" w:fill="auto"/>
          </w:tcPr>
          <w:p w:rsidR="00075678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7.5.</w:t>
            </w:r>
          </w:p>
        </w:tc>
        <w:tc>
          <w:tcPr>
            <w:tcW w:w="2835" w:type="dxa"/>
            <w:shd w:val="clear" w:color="auto" w:fill="auto"/>
          </w:tcPr>
          <w:p w:rsidR="00075678" w:rsidRPr="007E6D50" w:rsidRDefault="00075678" w:rsidP="00075678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бюджеты субъектов Российской Федерации</w:t>
            </w:r>
          </w:p>
        </w:tc>
        <w:tc>
          <w:tcPr>
            <w:tcW w:w="993" w:type="dxa"/>
            <w:shd w:val="clear" w:color="auto" w:fill="auto"/>
          </w:tcPr>
          <w:p w:rsidR="00075678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120,21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4,80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39,76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377,07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377,07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416,07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416,07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50,00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50,00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0,00</w:t>
            </w:r>
          </w:p>
        </w:tc>
      </w:tr>
      <w:tr w:rsidR="00884FF2" w:rsidRPr="007E6D50" w:rsidTr="003A07A3">
        <w:tc>
          <w:tcPr>
            <w:tcW w:w="15594" w:type="dxa"/>
            <w:gridSpan w:val="16"/>
            <w:shd w:val="clear" w:color="auto" w:fill="auto"/>
          </w:tcPr>
          <w:p w:rsidR="002D12F8" w:rsidRPr="007E6D50" w:rsidRDefault="008E6AE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8</w:t>
            </w:r>
            <w:r w:rsidR="002D12F8" w:rsidRPr="007E6D50">
              <w:rPr>
                <w:bCs/>
                <w:sz w:val="20"/>
                <w:szCs w:val="20"/>
              </w:rPr>
              <w:t xml:space="preserve">. Денежные </w:t>
            </w:r>
            <w:r w:rsidR="00D10C0F" w:rsidRPr="007E6D50">
              <w:rPr>
                <w:bCs/>
                <w:sz w:val="20"/>
                <w:szCs w:val="20"/>
              </w:rPr>
              <w:t>доходы населения</w:t>
            </w:r>
          </w:p>
        </w:tc>
      </w:tr>
      <w:tr w:rsidR="00D139E6" w:rsidRPr="007E6D50" w:rsidTr="003A07A3">
        <w:tc>
          <w:tcPr>
            <w:tcW w:w="709" w:type="dxa"/>
            <w:shd w:val="clear" w:color="auto" w:fill="auto"/>
          </w:tcPr>
          <w:p w:rsidR="00D139E6" w:rsidRPr="007E6D50" w:rsidRDefault="00D139E6" w:rsidP="00D139E6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8.1.</w:t>
            </w:r>
          </w:p>
        </w:tc>
        <w:tc>
          <w:tcPr>
            <w:tcW w:w="2835" w:type="dxa"/>
            <w:shd w:val="clear" w:color="auto" w:fill="auto"/>
          </w:tcPr>
          <w:p w:rsidR="00D139E6" w:rsidRPr="007E6D50" w:rsidRDefault="00D139E6" w:rsidP="00D139E6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Реальные располагаемые денежные доходы населения</w:t>
            </w:r>
          </w:p>
        </w:tc>
        <w:tc>
          <w:tcPr>
            <w:tcW w:w="993" w:type="dxa"/>
            <w:shd w:val="clear" w:color="auto" w:fill="auto"/>
          </w:tcPr>
          <w:p w:rsidR="00D139E6" w:rsidRPr="007E6D50" w:rsidRDefault="00D139E6" w:rsidP="00D139E6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</w:t>
            </w:r>
            <w:r w:rsidRPr="007E6D50">
              <w:rPr>
                <w:bCs/>
                <w:sz w:val="20"/>
                <w:szCs w:val="20"/>
              </w:rPr>
              <w:lastRenderedPageBreak/>
              <w:t>щему году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lastRenderedPageBreak/>
              <w:t>94,70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97,18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100,00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100,11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100,29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100,05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100,29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100,10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100,29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100,10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100,29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100,10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100,29</w:t>
            </w:r>
          </w:p>
        </w:tc>
      </w:tr>
      <w:tr w:rsidR="00D139E6" w:rsidRPr="007E6D50" w:rsidTr="00D139E6">
        <w:trPr>
          <w:cantSplit/>
          <w:trHeight w:val="987"/>
        </w:trPr>
        <w:tc>
          <w:tcPr>
            <w:tcW w:w="709" w:type="dxa"/>
            <w:shd w:val="clear" w:color="auto" w:fill="auto"/>
          </w:tcPr>
          <w:p w:rsidR="00D139E6" w:rsidRPr="007E6D50" w:rsidRDefault="00D139E6" w:rsidP="00D139E6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8.2.</w:t>
            </w:r>
          </w:p>
        </w:tc>
        <w:tc>
          <w:tcPr>
            <w:tcW w:w="2835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Численность населения с денежными доходами ниже прожиточного минимума к общей численности населения</w:t>
            </w:r>
          </w:p>
        </w:tc>
        <w:tc>
          <w:tcPr>
            <w:tcW w:w="993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3,30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3,22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3,14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3,04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3,04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3,00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3,00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2,80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2,80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2,64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2,64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2,50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2,50</w:t>
            </w:r>
          </w:p>
        </w:tc>
      </w:tr>
      <w:tr w:rsidR="00884FF2" w:rsidRPr="007E6D50" w:rsidTr="003A07A3">
        <w:tc>
          <w:tcPr>
            <w:tcW w:w="15594" w:type="dxa"/>
            <w:gridSpan w:val="16"/>
            <w:shd w:val="clear" w:color="auto" w:fill="auto"/>
          </w:tcPr>
          <w:p w:rsidR="00E602CB" w:rsidRPr="007E6D50" w:rsidRDefault="00710496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</w:t>
            </w:r>
            <w:r w:rsidR="00E602CB" w:rsidRPr="007E6D50">
              <w:rPr>
                <w:bCs/>
                <w:sz w:val="20"/>
                <w:szCs w:val="20"/>
              </w:rPr>
              <w:t>.</w:t>
            </w:r>
            <w:r w:rsidRPr="007E6D50">
              <w:rPr>
                <w:bCs/>
                <w:sz w:val="20"/>
                <w:szCs w:val="20"/>
              </w:rPr>
              <w:t xml:space="preserve"> </w:t>
            </w:r>
            <w:r w:rsidR="00E602CB" w:rsidRPr="007E6D50">
              <w:rPr>
                <w:bCs/>
                <w:sz w:val="20"/>
                <w:szCs w:val="20"/>
              </w:rPr>
              <w:t>Труд и занятость</w:t>
            </w:r>
          </w:p>
        </w:tc>
      </w:tr>
      <w:tr w:rsidR="004D2AB7" w:rsidRPr="007E6D50" w:rsidTr="003A07A3">
        <w:tc>
          <w:tcPr>
            <w:tcW w:w="709" w:type="dxa"/>
            <w:shd w:val="clear" w:color="auto" w:fill="auto"/>
          </w:tcPr>
          <w:p w:rsidR="004D2AB7" w:rsidRPr="007E6D50" w:rsidRDefault="004D2AB7" w:rsidP="004D2AB7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9.1.</w:t>
            </w:r>
          </w:p>
        </w:tc>
        <w:tc>
          <w:tcPr>
            <w:tcW w:w="2835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Среднегодовая численность занятых в экономике (по данным баланса трудовых ресурсов)</w:t>
            </w:r>
          </w:p>
        </w:tc>
        <w:tc>
          <w:tcPr>
            <w:tcW w:w="993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тыс. чел.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21,65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21,77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21,80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21,86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21,87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21,89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21,93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21,92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21,98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21,98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22,04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22,01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22,09</w:t>
            </w:r>
          </w:p>
        </w:tc>
      </w:tr>
      <w:tr w:rsidR="004D2AB7" w:rsidRPr="007E6D50" w:rsidTr="004D2AB7">
        <w:trPr>
          <w:cantSplit/>
          <w:trHeight w:val="1088"/>
        </w:trPr>
        <w:tc>
          <w:tcPr>
            <w:tcW w:w="709" w:type="dxa"/>
            <w:shd w:val="clear" w:color="auto" w:fill="auto"/>
          </w:tcPr>
          <w:p w:rsidR="004D2AB7" w:rsidRPr="007E6D50" w:rsidRDefault="004D2AB7" w:rsidP="004D2AB7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9.2.</w:t>
            </w:r>
          </w:p>
        </w:tc>
        <w:tc>
          <w:tcPr>
            <w:tcW w:w="2835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Номинальная начисленная среднемесячная заработная плата работников организаций</w:t>
            </w:r>
          </w:p>
        </w:tc>
        <w:tc>
          <w:tcPr>
            <w:tcW w:w="993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рублей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59 985,90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66 335,00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70 381,44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74 322,80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74 463,56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79 005,13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79 527,08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84 140,47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84 934,92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89 693,74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90 625,56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95 613,52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96 788,10</w:t>
            </w:r>
          </w:p>
        </w:tc>
      </w:tr>
      <w:tr w:rsidR="004D2AB7" w:rsidRPr="007E6D50" w:rsidTr="003A07A3">
        <w:tc>
          <w:tcPr>
            <w:tcW w:w="709" w:type="dxa"/>
            <w:shd w:val="clear" w:color="auto" w:fill="auto"/>
          </w:tcPr>
          <w:p w:rsidR="004D2AB7" w:rsidRPr="007E6D50" w:rsidRDefault="004D2AB7" w:rsidP="004D2AB7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9.3.</w:t>
            </w:r>
          </w:p>
        </w:tc>
        <w:tc>
          <w:tcPr>
            <w:tcW w:w="2835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Уровень зарегистрированной безработицы (на конец года)</w:t>
            </w:r>
          </w:p>
        </w:tc>
        <w:tc>
          <w:tcPr>
            <w:tcW w:w="993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0,20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0,19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0,18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0,17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0,17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0,17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0,17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0,17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0,15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0,15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0,15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0,17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0,15</w:t>
            </w:r>
          </w:p>
        </w:tc>
      </w:tr>
      <w:tr w:rsidR="004D2AB7" w:rsidRPr="004D2AB7" w:rsidTr="003A07A3">
        <w:tc>
          <w:tcPr>
            <w:tcW w:w="709" w:type="dxa"/>
            <w:shd w:val="clear" w:color="auto" w:fill="auto"/>
          </w:tcPr>
          <w:p w:rsidR="004D2AB7" w:rsidRPr="007E6D50" w:rsidRDefault="004D2AB7" w:rsidP="004D2AB7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9.4.</w:t>
            </w:r>
          </w:p>
        </w:tc>
        <w:tc>
          <w:tcPr>
            <w:tcW w:w="2835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Численность безработных, зарегистрированных в государственных учреждениях службы занятости населения (на конец года)</w:t>
            </w:r>
          </w:p>
        </w:tc>
        <w:tc>
          <w:tcPr>
            <w:tcW w:w="993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тыс. чел.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0,051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0,049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0,045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0,045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0,045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0,045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0,045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0,045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0,040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0,040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0,040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0,045</w:t>
            </w:r>
          </w:p>
        </w:tc>
        <w:tc>
          <w:tcPr>
            <w:tcW w:w="851" w:type="dxa"/>
            <w:shd w:val="clear" w:color="auto" w:fill="auto"/>
          </w:tcPr>
          <w:p w:rsidR="004D2AB7" w:rsidRPr="004D2AB7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0,040</w:t>
            </w:r>
          </w:p>
        </w:tc>
      </w:tr>
    </w:tbl>
    <w:p w:rsidR="00EF4151" w:rsidRPr="00884FF2" w:rsidRDefault="00EF4151" w:rsidP="00F05697">
      <w:pPr>
        <w:jc w:val="center"/>
        <w:rPr>
          <w:bCs/>
          <w:sz w:val="20"/>
          <w:szCs w:val="20"/>
        </w:rPr>
      </w:pPr>
    </w:p>
    <w:sectPr w:rsidR="00EF4151" w:rsidRPr="00884FF2" w:rsidSect="00F9281D"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300E" w:rsidRDefault="00B4300E">
      <w:r>
        <w:separator/>
      </w:r>
    </w:p>
  </w:endnote>
  <w:endnote w:type="continuationSeparator" w:id="0">
    <w:p w:rsidR="00B4300E" w:rsidRDefault="00B43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300E" w:rsidRDefault="00B4300E">
      <w:r>
        <w:separator/>
      </w:r>
    </w:p>
  </w:footnote>
  <w:footnote w:type="continuationSeparator" w:id="0">
    <w:p w:rsidR="00B4300E" w:rsidRDefault="00B430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300E" w:rsidRDefault="00B4300E" w:rsidP="004E728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4300E" w:rsidRDefault="00B4300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1080082"/>
      <w:docPartObj>
        <w:docPartGallery w:val="Page Numbers (Top of Page)"/>
        <w:docPartUnique/>
      </w:docPartObj>
    </w:sdtPr>
    <w:sdtEndPr/>
    <w:sdtContent>
      <w:p w:rsidR="00B4300E" w:rsidRDefault="00B4300E">
        <w:pPr>
          <w:pStyle w:val="Head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0410">
          <w:rPr>
            <w:noProof/>
          </w:rPr>
          <w:t>362</w:t>
        </w:r>
        <w:r>
          <w:fldChar w:fldCharType="end"/>
        </w:r>
      </w:p>
    </w:sdtContent>
  </w:sdt>
  <w:p w:rsidR="00B4300E" w:rsidRDefault="00B4300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11595651"/>
      <w:docPartObj>
        <w:docPartGallery w:val="Page Numbers (Top of Page)"/>
        <w:docPartUnique/>
      </w:docPartObj>
    </w:sdtPr>
    <w:sdtEndPr/>
    <w:sdtContent>
      <w:p w:rsidR="000E4948" w:rsidRDefault="000E4948">
        <w:pPr>
          <w:pStyle w:val="Head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0410">
          <w:rPr>
            <w:noProof/>
          </w:rPr>
          <w:t>350</w:t>
        </w:r>
        <w:r>
          <w:fldChar w:fldCharType="end"/>
        </w:r>
      </w:p>
    </w:sdtContent>
  </w:sdt>
  <w:p w:rsidR="000E4948" w:rsidRDefault="000E494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31CD8"/>
    <w:multiLevelType w:val="singleLevel"/>
    <w:tmpl w:val="621054E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" w15:restartNumberingAfterBreak="0">
    <w:nsid w:val="020D4BEC"/>
    <w:multiLevelType w:val="multilevel"/>
    <w:tmpl w:val="E816484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  <w:lvl w:ilvl="1">
      <w:start w:val="2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11A93853"/>
    <w:multiLevelType w:val="hybridMultilevel"/>
    <w:tmpl w:val="06789672"/>
    <w:lvl w:ilvl="0" w:tplc="0B6816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4D5E49"/>
    <w:multiLevelType w:val="multilevel"/>
    <w:tmpl w:val="04190029"/>
    <w:lvl w:ilvl="0">
      <w:start w:val="1"/>
      <w:numFmt w:val="decimal"/>
      <w:pStyle w:val="Heading1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38596CCB"/>
    <w:multiLevelType w:val="singleLevel"/>
    <w:tmpl w:val="889A168C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8DA3E5E"/>
    <w:multiLevelType w:val="multilevel"/>
    <w:tmpl w:val="C3BA3FD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B1D77CC"/>
    <w:multiLevelType w:val="hybridMultilevel"/>
    <w:tmpl w:val="CE0C5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76093"/>
    <w:multiLevelType w:val="hybridMultilevel"/>
    <w:tmpl w:val="81C25BCC"/>
    <w:lvl w:ilvl="0" w:tplc="7F86C7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C56DE"/>
    <w:multiLevelType w:val="hybridMultilevel"/>
    <w:tmpl w:val="EFF65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44A1A"/>
    <w:multiLevelType w:val="hybridMultilevel"/>
    <w:tmpl w:val="4D58B814"/>
    <w:lvl w:ilvl="0" w:tplc="64CEB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272CD1E">
      <w:numFmt w:val="none"/>
      <w:lvlText w:val=""/>
      <w:lvlJc w:val="left"/>
      <w:pPr>
        <w:tabs>
          <w:tab w:val="num" w:pos="360"/>
        </w:tabs>
      </w:pPr>
    </w:lvl>
    <w:lvl w:ilvl="2" w:tplc="6D50F79E">
      <w:numFmt w:val="none"/>
      <w:lvlText w:val=""/>
      <w:lvlJc w:val="left"/>
      <w:pPr>
        <w:tabs>
          <w:tab w:val="num" w:pos="360"/>
        </w:tabs>
      </w:pPr>
    </w:lvl>
    <w:lvl w:ilvl="3" w:tplc="0B62E8BA">
      <w:numFmt w:val="none"/>
      <w:lvlText w:val=""/>
      <w:lvlJc w:val="left"/>
      <w:pPr>
        <w:tabs>
          <w:tab w:val="num" w:pos="360"/>
        </w:tabs>
      </w:pPr>
    </w:lvl>
    <w:lvl w:ilvl="4" w:tplc="C362049A">
      <w:numFmt w:val="none"/>
      <w:lvlText w:val=""/>
      <w:lvlJc w:val="left"/>
      <w:pPr>
        <w:tabs>
          <w:tab w:val="num" w:pos="360"/>
        </w:tabs>
      </w:pPr>
    </w:lvl>
    <w:lvl w:ilvl="5" w:tplc="DBCE1F56">
      <w:numFmt w:val="none"/>
      <w:lvlText w:val=""/>
      <w:lvlJc w:val="left"/>
      <w:pPr>
        <w:tabs>
          <w:tab w:val="num" w:pos="360"/>
        </w:tabs>
      </w:pPr>
    </w:lvl>
    <w:lvl w:ilvl="6" w:tplc="67860A90">
      <w:numFmt w:val="none"/>
      <w:lvlText w:val=""/>
      <w:lvlJc w:val="left"/>
      <w:pPr>
        <w:tabs>
          <w:tab w:val="num" w:pos="360"/>
        </w:tabs>
      </w:pPr>
    </w:lvl>
    <w:lvl w:ilvl="7" w:tplc="AA449000">
      <w:numFmt w:val="none"/>
      <w:lvlText w:val=""/>
      <w:lvlJc w:val="left"/>
      <w:pPr>
        <w:tabs>
          <w:tab w:val="num" w:pos="360"/>
        </w:tabs>
      </w:pPr>
    </w:lvl>
    <w:lvl w:ilvl="8" w:tplc="ECA039A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478D3B6C"/>
    <w:multiLevelType w:val="hybridMultilevel"/>
    <w:tmpl w:val="38E40158"/>
    <w:lvl w:ilvl="0" w:tplc="90B4DF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023A82"/>
    <w:multiLevelType w:val="hybridMultilevel"/>
    <w:tmpl w:val="8230EB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5B7E16"/>
    <w:multiLevelType w:val="hybridMultilevel"/>
    <w:tmpl w:val="C3BA352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3" w15:restartNumberingAfterBreak="0">
    <w:nsid w:val="4E2768F2"/>
    <w:multiLevelType w:val="hybridMultilevel"/>
    <w:tmpl w:val="FEDCDA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2B3E91"/>
    <w:multiLevelType w:val="hybridMultilevel"/>
    <w:tmpl w:val="79E22E82"/>
    <w:lvl w:ilvl="0" w:tplc="DA28C64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 w15:restartNumberingAfterBreak="0">
    <w:nsid w:val="5B7732F8"/>
    <w:multiLevelType w:val="multilevel"/>
    <w:tmpl w:val="2B1C1B9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6CDA2344"/>
    <w:multiLevelType w:val="singleLevel"/>
    <w:tmpl w:val="4AD4F73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7" w15:restartNumberingAfterBreak="0">
    <w:nsid w:val="6D9D6415"/>
    <w:multiLevelType w:val="hybridMultilevel"/>
    <w:tmpl w:val="791203E2"/>
    <w:lvl w:ilvl="0" w:tplc="A12A5E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F3513B1"/>
    <w:multiLevelType w:val="hybridMultilevel"/>
    <w:tmpl w:val="3DD226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489079C"/>
    <w:multiLevelType w:val="hybridMultilevel"/>
    <w:tmpl w:val="4EEC49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B12A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7A4E5649"/>
    <w:multiLevelType w:val="multilevel"/>
    <w:tmpl w:val="5D04CF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C424531"/>
    <w:multiLevelType w:val="singleLevel"/>
    <w:tmpl w:val="03E8497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18"/>
  </w:num>
  <w:num w:numId="5">
    <w:abstractNumId w:val="20"/>
  </w:num>
  <w:num w:numId="6">
    <w:abstractNumId w:val="22"/>
  </w:num>
  <w:num w:numId="7">
    <w:abstractNumId w:val="0"/>
  </w:num>
  <w:num w:numId="8">
    <w:abstractNumId w:val="13"/>
  </w:num>
  <w:num w:numId="9">
    <w:abstractNumId w:val="19"/>
  </w:num>
  <w:num w:numId="10">
    <w:abstractNumId w:val="15"/>
  </w:num>
  <w:num w:numId="11">
    <w:abstractNumId w:val="5"/>
  </w:num>
  <w:num w:numId="12">
    <w:abstractNumId w:val="1"/>
  </w:num>
  <w:num w:numId="13">
    <w:abstractNumId w:val="7"/>
  </w:num>
  <w:num w:numId="14">
    <w:abstractNumId w:val="2"/>
  </w:num>
  <w:num w:numId="15">
    <w:abstractNumId w:val="12"/>
  </w:num>
  <w:num w:numId="16">
    <w:abstractNumId w:val="14"/>
  </w:num>
  <w:num w:numId="17">
    <w:abstractNumId w:val="11"/>
  </w:num>
  <w:num w:numId="18">
    <w:abstractNumId w:val="9"/>
  </w:num>
  <w:num w:numId="19">
    <w:abstractNumId w:val="8"/>
  </w:num>
  <w:num w:numId="20">
    <w:abstractNumId w:val="10"/>
  </w:num>
  <w:num w:numId="21">
    <w:abstractNumId w:val="17"/>
  </w:num>
  <w:num w:numId="22">
    <w:abstractNumId w:val="6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DB6"/>
    <w:rsid w:val="00000ED9"/>
    <w:rsid w:val="000022EA"/>
    <w:rsid w:val="00003EA8"/>
    <w:rsid w:val="000137DA"/>
    <w:rsid w:val="00017F2D"/>
    <w:rsid w:val="000200DA"/>
    <w:rsid w:val="00023046"/>
    <w:rsid w:val="00026ABC"/>
    <w:rsid w:val="00031F4F"/>
    <w:rsid w:val="00052B99"/>
    <w:rsid w:val="00053975"/>
    <w:rsid w:val="00054422"/>
    <w:rsid w:val="00054B6B"/>
    <w:rsid w:val="00056262"/>
    <w:rsid w:val="000635F8"/>
    <w:rsid w:val="000665C6"/>
    <w:rsid w:val="00070BA6"/>
    <w:rsid w:val="00073FD9"/>
    <w:rsid w:val="00075678"/>
    <w:rsid w:val="00075BFD"/>
    <w:rsid w:val="00076A3C"/>
    <w:rsid w:val="0007789C"/>
    <w:rsid w:val="000909DC"/>
    <w:rsid w:val="00095FFE"/>
    <w:rsid w:val="00096199"/>
    <w:rsid w:val="000977B8"/>
    <w:rsid w:val="000A101B"/>
    <w:rsid w:val="000A2EBD"/>
    <w:rsid w:val="000A3EE3"/>
    <w:rsid w:val="000A782B"/>
    <w:rsid w:val="000B1CD8"/>
    <w:rsid w:val="000C530A"/>
    <w:rsid w:val="000C66BC"/>
    <w:rsid w:val="000D469B"/>
    <w:rsid w:val="000E02E2"/>
    <w:rsid w:val="000E1714"/>
    <w:rsid w:val="000E1778"/>
    <w:rsid w:val="000E4948"/>
    <w:rsid w:val="000F3254"/>
    <w:rsid w:val="000F4BBA"/>
    <w:rsid w:val="00102A8D"/>
    <w:rsid w:val="00114E35"/>
    <w:rsid w:val="00116098"/>
    <w:rsid w:val="00116500"/>
    <w:rsid w:val="001241E4"/>
    <w:rsid w:val="00125D8F"/>
    <w:rsid w:val="00130C37"/>
    <w:rsid w:val="00131A7A"/>
    <w:rsid w:val="0013217E"/>
    <w:rsid w:val="0013332A"/>
    <w:rsid w:val="001434AD"/>
    <w:rsid w:val="001456C4"/>
    <w:rsid w:val="00145DAA"/>
    <w:rsid w:val="001513DB"/>
    <w:rsid w:val="00152F85"/>
    <w:rsid w:val="00156376"/>
    <w:rsid w:val="001579F2"/>
    <w:rsid w:val="001623AC"/>
    <w:rsid w:val="0018085D"/>
    <w:rsid w:val="001823C0"/>
    <w:rsid w:val="00192CF9"/>
    <w:rsid w:val="00195437"/>
    <w:rsid w:val="001A1CFD"/>
    <w:rsid w:val="001A2EBB"/>
    <w:rsid w:val="001A6D19"/>
    <w:rsid w:val="001A7A70"/>
    <w:rsid w:val="001C0D4D"/>
    <w:rsid w:val="001C5BDA"/>
    <w:rsid w:val="001D2C41"/>
    <w:rsid w:val="001D5EDB"/>
    <w:rsid w:val="001D778E"/>
    <w:rsid w:val="001E46B4"/>
    <w:rsid w:val="001F5AE6"/>
    <w:rsid w:val="002052A5"/>
    <w:rsid w:val="002076BD"/>
    <w:rsid w:val="00216681"/>
    <w:rsid w:val="0022602B"/>
    <w:rsid w:val="002331A0"/>
    <w:rsid w:val="00235B5B"/>
    <w:rsid w:val="00243169"/>
    <w:rsid w:val="00247AAD"/>
    <w:rsid w:val="00252B9D"/>
    <w:rsid w:val="0026317E"/>
    <w:rsid w:val="00265C28"/>
    <w:rsid w:val="0027156E"/>
    <w:rsid w:val="00272DCF"/>
    <w:rsid w:val="0027761B"/>
    <w:rsid w:val="00281280"/>
    <w:rsid w:val="002824DD"/>
    <w:rsid w:val="00284E16"/>
    <w:rsid w:val="002856F1"/>
    <w:rsid w:val="0028730C"/>
    <w:rsid w:val="00287846"/>
    <w:rsid w:val="00287BAC"/>
    <w:rsid w:val="002901BE"/>
    <w:rsid w:val="002947CF"/>
    <w:rsid w:val="00295A06"/>
    <w:rsid w:val="0029777A"/>
    <w:rsid w:val="00297792"/>
    <w:rsid w:val="002A32C6"/>
    <w:rsid w:val="002A55B6"/>
    <w:rsid w:val="002B0A28"/>
    <w:rsid w:val="002B1E97"/>
    <w:rsid w:val="002B48AA"/>
    <w:rsid w:val="002B6FB0"/>
    <w:rsid w:val="002C2943"/>
    <w:rsid w:val="002C3EE3"/>
    <w:rsid w:val="002D0477"/>
    <w:rsid w:val="002D12F8"/>
    <w:rsid w:val="002D5681"/>
    <w:rsid w:val="002D6F75"/>
    <w:rsid w:val="002F4D8B"/>
    <w:rsid w:val="003012E0"/>
    <w:rsid w:val="00301F86"/>
    <w:rsid w:val="00303ACC"/>
    <w:rsid w:val="003066E2"/>
    <w:rsid w:val="00311EAF"/>
    <w:rsid w:val="00315B4F"/>
    <w:rsid w:val="00317DD3"/>
    <w:rsid w:val="00324874"/>
    <w:rsid w:val="0034196C"/>
    <w:rsid w:val="0034248F"/>
    <w:rsid w:val="0034685F"/>
    <w:rsid w:val="0034765D"/>
    <w:rsid w:val="00347A61"/>
    <w:rsid w:val="00347D62"/>
    <w:rsid w:val="00351B96"/>
    <w:rsid w:val="00352BB7"/>
    <w:rsid w:val="00363ECD"/>
    <w:rsid w:val="00376CF6"/>
    <w:rsid w:val="0037736A"/>
    <w:rsid w:val="003809AC"/>
    <w:rsid w:val="003818D0"/>
    <w:rsid w:val="003867CB"/>
    <w:rsid w:val="003959CA"/>
    <w:rsid w:val="003A07A3"/>
    <w:rsid w:val="003A4384"/>
    <w:rsid w:val="003A4CB5"/>
    <w:rsid w:val="003A58C9"/>
    <w:rsid w:val="003A5E0C"/>
    <w:rsid w:val="003B51C6"/>
    <w:rsid w:val="003C0564"/>
    <w:rsid w:val="003C7AB6"/>
    <w:rsid w:val="003D08E0"/>
    <w:rsid w:val="003D4B64"/>
    <w:rsid w:val="003D7A1A"/>
    <w:rsid w:val="003E47FF"/>
    <w:rsid w:val="003E4C95"/>
    <w:rsid w:val="003E5880"/>
    <w:rsid w:val="003E7A38"/>
    <w:rsid w:val="003F24F4"/>
    <w:rsid w:val="003F2BD3"/>
    <w:rsid w:val="003F7317"/>
    <w:rsid w:val="0040008B"/>
    <w:rsid w:val="0040122D"/>
    <w:rsid w:val="00401632"/>
    <w:rsid w:val="00412004"/>
    <w:rsid w:val="0041453E"/>
    <w:rsid w:val="00416D08"/>
    <w:rsid w:val="00417035"/>
    <w:rsid w:val="0042117D"/>
    <w:rsid w:val="00424EA5"/>
    <w:rsid w:val="00430904"/>
    <w:rsid w:val="0043489B"/>
    <w:rsid w:val="00435505"/>
    <w:rsid w:val="00441CD7"/>
    <w:rsid w:val="00447F69"/>
    <w:rsid w:val="00451348"/>
    <w:rsid w:val="00452B91"/>
    <w:rsid w:val="00456947"/>
    <w:rsid w:val="00465577"/>
    <w:rsid w:val="004722BF"/>
    <w:rsid w:val="00475B83"/>
    <w:rsid w:val="004871C8"/>
    <w:rsid w:val="0049565A"/>
    <w:rsid w:val="00496753"/>
    <w:rsid w:val="00496C87"/>
    <w:rsid w:val="004A219D"/>
    <w:rsid w:val="004A2F34"/>
    <w:rsid w:val="004B437E"/>
    <w:rsid w:val="004B73B8"/>
    <w:rsid w:val="004B7E79"/>
    <w:rsid w:val="004C1909"/>
    <w:rsid w:val="004D2AB7"/>
    <w:rsid w:val="004D2EA7"/>
    <w:rsid w:val="004D3603"/>
    <w:rsid w:val="004E728B"/>
    <w:rsid w:val="004F0318"/>
    <w:rsid w:val="004F42F8"/>
    <w:rsid w:val="004F5451"/>
    <w:rsid w:val="004F6BD8"/>
    <w:rsid w:val="004F77D6"/>
    <w:rsid w:val="004F786D"/>
    <w:rsid w:val="005025A2"/>
    <w:rsid w:val="0050379D"/>
    <w:rsid w:val="005042AB"/>
    <w:rsid w:val="005140E7"/>
    <w:rsid w:val="00521E07"/>
    <w:rsid w:val="00525723"/>
    <w:rsid w:val="00526310"/>
    <w:rsid w:val="00526CFB"/>
    <w:rsid w:val="00530AD6"/>
    <w:rsid w:val="005324B9"/>
    <w:rsid w:val="00533B8C"/>
    <w:rsid w:val="00535D9E"/>
    <w:rsid w:val="00537F3D"/>
    <w:rsid w:val="005527E7"/>
    <w:rsid w:val="00553106"/>
    <w:rsid w:val="005543D6"/>
    <w:rsid w:val="00555AC8"/>
    <w:rsid w:val="00557BF7"/>
    <w:rsid w:val="00565697"/>
    <w:rsid w:val="005666CD"/>
    <w:rsid w:val="00570228"/>
    <w:rsid w:val="005714DD"/>
    <w:rsid w:val="00572B0E"/>
    <w:rsid w:val="00576CCF"/>
    <w:rsid w:val="00577A15"/>
    <w:rsid w:val="0058041A"/>
    <w:rsid w:val="0058045D"/>
    <w:rsid w:val="00582257"/>
    <w:rsid w:val="00583A3C"/>
    <w:rsid w:val="00593A3D"/>
    <w:rsid w:val="00596A70"/>
    <w:rsid w:val="005A2A78"/>
    <w:rsid w:val="005A2F17"/>
    <w:rsid w:val="005A66AC"/>
    <w:rsid w:val="005A6EBC"/>
    <w:rsid w:val="005B05E1"/>
    <w:rsid w:val="005B4046"/>
    <w:rsid w:val="005B69F6"/>
    <w:rsid w:val="005C31A6"/>
    <w:rsid w:val="005C40E7"/>
    <w:rsid w:val="005C60A4"/>
    <w:rsid w:val="005C641F"/>
    <w:rsid w:val="005D2F25"/>
    <w:rsid w:val="005D4641"/>
    <w:rsid w:val="005D53B8"/>
    <w:rsid w:val="005E2277"/>
    <w:rsid w:val="005E643A"/>
    <w:rsid w:val="005E7F4D"/>
    <w:rsid w:val="005F0F94"/>
    <w:rsid w:val="005F1D4E"/>
    <w:rsid w:val="005F2D49"/>
    <w:rsid w:val="005F33A5"/>
    <w:rsid w:val="005F3B08"/>
    <w:rsid w:val="005F3CB6"/>
    <w:rsid w:val="005F44FB"/>
    <w:rsid w:val="005F6089"/>
    <w:rsid w:val="005F79FE"/>
    <w:rsid w:val="00601A25"/>
    <w:rsid w:val="006066A2"/>
    <w:rsid w:val="006117EC"/>
    <w:rsid w:val="00612792"/>
    <w:rsid w:val="00613649"/>
    <w:rsid w:val="00614C1E"/>
    <w:rsid w:val="006151D9"/>
    <w:rsid w:val="00620ABB"/>
    <w:rsid w:val="0062178F"/>
    <w:rsid w:val="0062295E"/>
    <w:rsid w:val="00625D7F"/>
    <w:rsid w:val="006327DD"/>
    <w:rsid w:val="00632FB2"/>
    <w:rsid w:val="006352AB"/>
    <w:rsid w:val="0063684F"/>
    <w:rsid w:val="00645A68"/>
    <w:rsid w:val="00645CD4"/>
    <w:rsid w:val="00646CE1"/>
    <w:rsid w:val="00653D54"/>
    <w:rsid w:val="006552AE"/>
    <w:rsid w:val="0065766B"/>
    <w:rsid w:val="00664220"/>
    <w:rsid w:val="00670335"/>
    <w:rsid w:val="00674F0A"/>
    <w:rsid w:val="0067508F"/>
    <w:rsid w:val="00677B2E"/>
    <w:rsid w:val="006802CE"/>
    <w:rsid w:val="00680418"/>
    <w:rsid w:val="00682CD8"/>
    <w:rsid w:val="0068649D"/>
    <w:rsid w:val="00686DEF"/>
    <w:rsid w:val="006872D9"/>
    <w:rsid w:val="00695299"/>
    <w:rsid w:val="0069643F"/>
    <w:rsid w:val="006A42EA"/>
    <w:rsid w:val="006B184A"/>
    <w:rsid w:val="006B70B5"/>
    <w:rsid w:val="006C2A14"/>
    <w:rsid w:val="006C7436"/>
    <w:rsid w:val="006D3440"/>
    <w:rsid w:val="006D7096"/>
    <w:rsid w:val="006E0410"/>
    <w:rsid w:val="006E6304"/>
    <w:rsid w:val="006F1017"/>
    <w:rsid w:val="006F4912"/>
    <w:rsid w:val="00701A0C"/>
    <w:rsid w:val="00707632"/>
    <w:rsid w:val="00710496"/>
    <w:rsid w:val="00713D90"/>
    <w:rsid w:val="00714B15"/>
    <w:rsid w:val="0071748D"/>
    <w:rsid w:val="00717680"/>
    <w:rsid w:val="00720159"/>
    <w:rsid w:val="007253BC"/>
    <w:rsid w:val="007313EE"/>
    <w:rsid w:val="00731446"/>
    <w:rsid w:val="00733AE2"/>
    <w:rsid w:val="007449D2"/>
    <w:rsid w:val="00746C6F"/>
    <w:rsid w:val="00753B1C"/>
    <w:rsid w:val="0076045B"/>
    <w:rsid w:val="007611DB"/>
    <w:rsid w:val="00771037"/>
    <w:rsid w:val="00773620"/>
    <w:rsid w:val="00773BE0"/>
    <w:rsid w:val="00774B0D"/>
    <w:rsid w:val="0077785D"/>
    <w:rsid w:val="00780622"/>
    <w:rsid w:val="00781982"/>
    <w:rsid w:val="00787346"/>
    <w:rsid w:val="0079006C"/>
    <w:rsid w:val="007944F7"/>
    <w:rsid w:val="007949E0"/>
    <w:rsid w:val="007A0635"/>
    <w:rsid w:val="007A138D"/>
    <w:rsid w:val="007A32CF"/>
    <w:rsid w:val="007A6104"/>
    <w:rsid w:val="007A637A"/>
    <w:rsid w:val="007B0533"/>
    <w:rsid w:val="007B240C"/>
    <w:rsid w:val="007B3BFC"/>
    <w:rsid w:val="007C01FA"/>
    <w:rsid w:val="007C077D"/>
    <w:rsid w:val="007C2A2D"/>
    <w:rsid w:val="007D0079"/>
    <w:rsid w:val="007D26DC"/>
    <w:rsid w:val="007E18C2"/>
    <w:rsid w:val="007E26DC"/>
    <w:rsid w:val="007E3970"/>
    <w:rsid w:val="007E5058"/>
    <w:rsid w:val="007E6D50"/>
    <w:rsid w:val="007F2E76"/>
    <w:rsid w:val="007F5502"/>
    <w:rsid w:val="007F7CFB"/>
    <w:rsid w:val="00803916"/>
    <w:rsid w:val="008066AE"/>
    <w:rsid w:val="00816AE1"/>
    <w:rsid w:val="0081704A"/>
    <w:rsid w:val="008218CE"/>
    <w:rsid w:val="0082221A"/>
    <w:rsid w:val="0082231F"/>
    <w:rsid w:val="00826B31"/>
    <w:rsid w:val="00836550"/>
    <w:rsid w:val="00836ADA"/>
    <w:rsid w:val="00840591"/>
    <w:rsid w:val="00840C4C"/>
    <w:rsid w:val="00842A88"/>
    <w:rsid w:val="00843897"/>
    <w:rsid w:val="008454AA"/>
    <w:rsid w:val="008542E7"/>
    <w:rsid w:val="0085585A"/>
    <w:rsid w:val="008567C3"/>
    <w:rsid w:val="00857CEB"/>
    <w:rsid w:val="00862693"/>
    <w:rsid w:val="00866364"/>
    <w:rsid w:val="008710BE"/>
    <w:rsid w:val="00884FF2"/>
    <w:rsid w:val="00891F06"/>
    <w:rsid w:val="00894B68"/>
    <w:rsid w:val="008973F5"/>
    <w:rsid w:val="008B17AF"/>
    <w:rsid w:val="008C406C"/>
    <w:rsid w:val="008D1384"/>
    <w:rsid w:val="008D3AA5"/>
    <w:rsid w:val="008D6E72"/>
    <w:rsid w:val="008E6AED"/>
    <w:rsid w:val="008F1A64"/>
    <w:rsid w:val="008F6BF4"/>
    <w:rsid w:val="0090136F"/>
    <w:rsid w:val="00902056"/>
    <w:rsid w:val="00903EB4"/>
    <w:rsid w:val="00907852"/>
    <w:rsid w:val="009135C5"/>
    <w:rsid w:val="00913DE0"/>
    <w:rsid w:val="00915D2A"/>
    <w:rsid w:val="00916680"/>
    <w:rsid w:val="00922884"/>
    <w:rsid w:val="00922FC6"/>
    <w:rsid w:val="0092553A"/>
    <w:rsid w:val="009256F0"/>
    <w:rsid w:val="00932F75"/>
    <w:rsid w:val="00933B55"/>
    <w:rsid w:val="00942EF3"/>
    <w:rsid w:val="009506E1"/>
    <w:rsid w:val="009515DE"/>
    <w:rsid w:val="00953462"/>
    <w:rsid w:val="00955EED"/>
    <w:rsid w:val="00962279"/>
    <w:rsid w:val="0096506B"/>
    <w:rsid w:val="00965D92"/>
    <w:rsid w:val="009677F9"/>
    <w:rsid w:val="00972E54"/>
    <w:rsid w:val="00982C3C"/>
    <w:rsid w:val="0098519C"/>
    <w:rsid w:val="0099588E"/>
    <w:rsid w:val="00995DF9"/>
    <w:rsid w:val="009A1323"/>
    <w:rsid w:val="009A2E29"/>
    <w:rsid w:val="009A7773"/>
    <w:rsid w:val="009B02E0"/>
    <w:rsid w:val="009C002B"/>
    <w:rsid w:val="009C0618"/>
    <w:rsid w:val="009C0F1B"/>
    <w:rsid w:val="009C6462"/>
    <w:rsid w:val="009D301C"/>
    <w:rsid w:val="009D314B"/>
    <w:rsid w:val="009D354B"/>
    <w:rsid w:val="009F099D"/>
    <w:rsid w:val="009F3E9C"/>
    <w:rsid w:val="009F4980"/>
    <w:rsid w:val="00A00728"/>
    <w:rsid w:val="00A12BEB"/>
    <w:rsid w:val="00A12E5F"/>
    <w:rsid w:val="00A15285"/>
    <w:rsid w:val="00A1710D"/>
    <w:rsid w:val="00A2132C"/>
    <w:rsid w:val="00A21FBF"/>
    <w:rsid w:val="00A24D82"/>
    <w:rsid w:val="00A309EB"/>
    <w:rsid w:val="00A30AA2"/>
    <w:rsid w:val="00A30AE9"/>
    <w:rsid w:val="00A353C1"/>
    <w:rsid w:val="00A362E9"/>
    <w:rsid w:val="00A407EC"/>
    <w:rsid w:val="00A409C2"/>
    <w:rsid w:val="00A410C5"/>
    <w:rsid w:val="00A42725"/>
    <w:rsid w:val="00A44F59"/>
    <w:rsid w:val="00A45A52"/>
    <w:rsid w:val="00A4733B"/>
    <w:rsid w:val="00A547EC"/>
    <w:rsid w:val="00A5594A"/>
    <w:rsid w:val="00A57141"/>
    <w:rsid w:val="00A5767B"/>
    <w:rsid w:val="00A600E9"/>
    <w:rsid w:val="00A60DB6"/>
    <w:rsid w:val="00A63728"/>
    <w:rsid w:val="00A65988"/>
    <w:rsid w:val="00A67370"/>
    <w:rsid w:val="00A72640"/>
    <w:rsid w:val="00A7671F"/>
    <w:rsid w:val="00A824CA"/>
    <w:rsid w:val="00A92EDF"/>
    <w:rsid w:val="00A933B1"/>
    <w:rsid w:val="00A9491D"/>
    <w:rsid w:val="00A97341"/>
    <w:rsid w:val="00AA0BBA"/>
    <w:rsid w:val="00AA3E25"/>
    <w:rsid w:val="00AA4294"/>
    <w:rsid w:val="00AB1AA0"/>
    <w:rsid w:val="00AB38BA"/>
    <w:rsid w:val="00AB6710"/>
    <w:rsid w:val="00AB7286"/>
    <w:rsid w:val="00AB75F4"/>
    <w:rsid w:val="00AC2CD3"/>
    <w:rsid w:val="00AC497A"/>
    <w:rsid w:val="00AC5C66"/>
    <w:rsid w:val="00AD3EE9"/>
    <w:rsid w:val="00AD52E7"/>
    <w:rsid w:val="00AD77FC"/>
    <w:rsid w:val="00AE19E5"/>
    <w:rsid w:val="00AE55CE"/>
    <w:rsid w:val="00AE784A"/>
    <w:rsid w:val="00B0133D"/>
    <w:rsid w:val="00B0600D"/>
    <w:rsid w:val="00B0797A"/>
    <w:rsid w:val="00B14D1B"/>
    <w:rsid w:val="00B15D81"/>
    <w:rsid w:val="00B1625B"/>
    <w:rsid w:val="00B21007"/>
    <w:rsid w:val="00B24516"/>
    <w:rsid w:val="00B24803"/>
    <w:rsid w:val="00B36725"/>
    <w:rsid w:val="00B37A2A"/>
    <w:rsid w:val="00B4300E"/>
    <w:rsid w:val="00B50193"/>
    <w:rsid w:val="00B51DFB"/>
    <w:rsid w:val="00B52779"/>
    <w:rsid w:val="00B5384B"/>
    <w:rsid w:val="00B665EF"/>
    <w:rsid w:val="00B80CCA"/>
    <w:rsid w:val="00B86C15"/>
    <w:rsid w:val="00B95352"/>
    <w:rsid w:val="00BA05D6"/>
    <w:rsid w:val="00BA743D"/>
    <w:rsid w:val="00BB019C"/>
    <w:rsid w:val="00BB595F"/>
    <w:rsid w:val="00BC1860"/>
    <w:rsid w:val="00BC2F65"/>
    <w:rsid w:val="00BC3FD9"/>
    <w:rsid w:val="00BC4AB1"/>
    <w:rsid w:val="00BC5EC5"/>
    <w:rsid w:val="00BC66A3"/>
    <w:rsid w:val="00BD1E73"/>
    <w:rsid w:val="00BD4305"/>
    <w:rsid w:val="00BE7ADE"/>
    <w:rsid w:val="00BF179F"/>
    <w:rsid w:val="00BF4913"/>
    <w:rsid w:val="00BF78A3"/>
    <w:rsid w:val="00C01223"/>
    <w:rsid w:val="00C05A63"/>
    <w:rsid w:val="00C0730F"/>
    <w:rsid w:val="00C11624"/>
    <w:rsid w:val="00C121C4"/>
    <w:rsid w:val="00C14F16"/>
    <w:rsid w:val="00C161FB"/>
    <w:rsid w:val="00C21A67"/>
    <w:rsid w:val="00C23EBA"/>
    <w:rsid w:val="00C2585F"/>
    <w:rsid w:val="00C3052F"/>
    <w:rsid w:val="00C334CB"/>
    <w:rsid w:val="00C37C5F"/>
    <w:rsid w:val="00C45C4F"/>
    <w:rsid w:val="00C46713"/>
    <w:rsid w:val="00C50C9F"/>
    <w:rsid w:val="00C51FE0"/>
    <w:rsid w:val="00C56EB7"/>
    <w:rsid w:val="00C60F1B"/>
    <w:rsid w:val="00C73919"/>
    <w:rsid w:val="00C80233"/>
    <w:rsid w:val="00C8225C"/>
    <w:rsid w:val="00C824B2"/>
    <w:rsid w:val="00C85652"/>
    <w:rsid w:val="00C858D9"/>
    <w:rsid w:val="00C90D27"/>
    <w:rsid w:val="00C92AC5"/>
    <w:rsid w:val="00C940B3"/>
    <w:rsid w:val="00C94F65"/>
    <w:rsid w:val="00C95845"/>
    <w:rsid w:val="00C95A14"/>
    <w:rsid w:val="00C97775"/>
    <w:rsid w:val="00CA14C5"/>
    <w:rsid w:val="00CA1BDE"/>
    <w:rsid w:val="00CA2F96"/>
    <w:rsid w:val="00CA2FEF"/>
    <w:rsid w:val="00CA43BB"/>
    <w:rsid w:val="00CA45AB"/>
    <w:rsid w:val="00CA49CC"/>
    <w:rsid w:val="00CB0F06"/>
    <w:rsid w:val="00CB784F"/>
    <w:rsid w:val="00CB79C9"/>
    <w:rsid w:val="00CC33D5"/>
    <w:rsid w:val="00CC737A"/>
    <w:rsid w:val="00CC7BFC"/>
    <w:rsid w:val="00CD0DE3"/>
    <w:rsid w:val="00CE494C"/>
    <w:rsid w:val="00D0121A"/>
    <w:rsid w:val="00D10C0F"/>
    <w:rsid w:val="00D1364E"/>
    <w:rsid w:val="00D139E6"/>
    <w:rsid w:val="00D218C3"/>
    <w:rsid w:val="00D2467A"/>
    <w:rsid w:val="00D265F9"/>
    <w:rsid w:val="00D26B34"/>
    <w:rsid w:val="00D31F0F"/>
    <w:rsid w:val="00D3398C"/>
    <w:rsid w:val="00D33CC5"/>
    <w:rsid w:val="00D34954"/>
    <w:rsid w:val="00D42A5F"/>
    <w:rsid w:val="00D52E27"/>
    <w:rsid w:val="00D5348D"/>
    <w:rsid w:val="00D66F9F"/>
    <w:rsid w:val="00D67FEF"/>
    <w:rsid w:val="00D84AB4"/>
    <w:rsid w:val="00D9212A"/>
    <w:rsid w:val="00D94D3E"/>
    <w:rsid w:val="00D97C70"/>
    <w:rsid w:val="00DA0D02"/>
    <w:rsid w:val="00DA3915"/>
    <w:rsid w:val="00DA3FB7"/>
    <w:rsid w:val="00DA4008"/>
    <w:rsid w:val="00DA440F"/>
    <w:rsid w:val="00DB1801"/>
    <w:rsid w:val="00DB5F2C"/>
    <w:rsid w:val="00DB6BC6"/>
    <w:rsid w:val="00DC3C8F"/>
    <w:rsid w:val="00DE4A1C"/>
    <w:rsid w:val="00DE5485"/>
    <w:rsid w:val="00DF1B37"/>
    <w:rsid w:val="00DF3E27"/>
    <w:rsid w:val="00DF4B4E"/>
    <w:rsid w:val="00DF5565"/>
    <w:rsid w:val="00DF7EFE"/>
    <w:rsid w:val="00E02D11"/>
    <w:rsid w:val="00E15F7E"/>
    <w:rsid w:val="00E22308"/>
    <w:rsid w:val="00E23CFD"/>
    <w:rsid w:val="00E24366"/>
    <w:rsid w:val="00E256DB"/>
    <w:rsid w:val="00E27FCB"/>
    <w:rsid w:val="00E30BD8"/>
    <w:rsid w:val="00E31AAA"/>
    <w:rsid w:val="00E33FB4"/>
    <w:rsid w:val="00E34BBD"/>
    <w:rsid w:val="00E430F2"/>
    <w:rsid w:val="00E51A5D"/>
    <w:rsid w:val="00E602CB"/>
    <w:rsid w:val="00E61073"/>
    <w:rsid w:val="00E626B1"/>
    <w:rsid w:val="00E67DAC"/>
    <w:rsid w:val="00E709BD"/>
    <w:rsid w:val="00E72E08"/>
    <w:rsid w:val="00E82433"/>
    <w:rsid w:val="00E92F43"/>
    <w:rsid w:val="00E947FF"/>
    <w:rsid w:val="00EB0D44"/>
    <w:rsid w:val="00EB3B09"/>
    <w:rsid w:val="00EC3D3E"/>
    <w:rsid w:val="00EC6D95"/>
    <w:rsid w:val="00EC6E78"/>
    <w:rsid w:val="00ED08C9"/>
    <w:rsid w:val="00ED6B2F"/>
    <w:rsid w:val="00EE5534"/>
    <w:rsid w:val="00EF3708"/>
    <w:rsid w:val="00EF4151"/>
    <w:rsid w:val="00EF48F9"/>
    <w:rsid w:val="00EF7A49"/>
    <w:rsid w:val="00F05697"/>
    <w:rsid w:val="00F05707"/>
    <w:rsid w:val="00F071CC"/>
    <w:rsid w:val="00F10075"/>
    <w:rsid w:val="00F16626"/>
    <w:rsid w:val="00F16D32"/>
    <w:rsid w:val="00F238FE"/>
    <w:rsid w:val="00F2677F"/>
    <w:rsid w:val="00F275FD"/>
    <w:rsid w:val="00F35FBC"/>
    <w:rsid w:val="00F6031C"/>
    <w:rsid w:val="00F629D2"/>
    <w:rsid w:val="00F6626D"/>
    <w:rsid w:val="00F731CB"/>
    <w:rsid w:val="00F809AE"/>
    <w:rsid w:val="00F80D8C"/>
    <w:rsid w:val="00F864C4"/>
    <w:rsid w:val="00F9281D"/>
    <w:rsid w:val="00F92A92"/>
    <w:rsid w:val="00F976BC"/>
    <w:rsid w:val="00F97B18"/>
    <w:rsid w:val="00FA06A1"/>
    <w:rsid w:val="00FA4777"/>
    <w:rsid w:val="00FB1DE5"/>
    <w:rsid w:val="00FB5535"/>
    <w:rsid w:val="00FC0F69"/>
    <w:rsid w:val="00FC2235"/>
    <w:rsid w:val="00FC3D77"/>
    <w:rsid w:val="00FC41E8"/>
    <w:rsid w:val="00FC6B51"/>
    <w:rsid w:val="00FD0AA4"/>
    <w:rsid w:val="00FD20EB"/>
    <w:rsid w:val="00FD5A24"/>
    <w:rsid w:val="00FD7845"/>
    <w:rsid w:val="00FF4342"/>
    <w:rsid w:val="00FF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C4AD2C-1929-4EDF-BB70-C7A3B6FAE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Cs w:val="20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Cs w:val="20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sz w:val="22"/>
      <w:szCs w:val="20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pPr>
      <w:tabs>
        <w:tab w:val="center" w:pos="4677"/>
        <w:tab w:val="right" w:pos="9355"/>
      </w:tabs>
    </w:pPr>
  </w:style>
  <w:style w:type="paragraph" w:styleId="BodyText">
    <w:name w:val="Body Text"/>
    <w:basedOn w:val="Normal"/>
    <w:rsid w:val="004D3603"/>
    <w:rPr>
      <w:b/>
    </w:rPr>
  </w:style>
  <w:style w:type="paragraph" w:styleId="BodyTextIndent">
    <w:name w:val="Body Text Indent"/>
    <w:basedOn w:val="Normal"/>
    <w:rsid w:val="004D3603"/>
    <w:pPr>
      <w:ind w:left="360"/>
      <w:jc w:val="both"/>
    </w:pPr>
  </w:style>
  <w:style w:type="paragraph" w:styleId="BalloonText">
    <w:name w:val="Balloon Text"/>
    <w:basedOn w:val="Normal"/>
    <w:semiHidden/>
    <w:rsid w:val="004D3603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252B9D"/>
    <w:pPr>
      <w:jc w:val="center"/>
    </w:pPr>
    <w:rPr>
      <w:sz w:val="32"/>
      <w:szCs w:val="20"/>
    </w:rPr>
  </w:style>
  <w:style w:type="paragraph" w:styleId="BodyText2">
    <w:name w:val="Body Text 2"/>
    <w:basedOn w:val="Normal"/>
    <w:rsid w:val="004F77D6"/>
    <w:pPr>
      <w:spacing w:after="120" w:line="480" w:lineRule="auto"/>
    </w:pPr>
  </w:style>
  <w:style w:type="paragraph" w:customStyle="1" w:styleId="ConsPlusNormal">
    <w:name w:val="ConsPlusNormal"/>
    <w:rsid w:val="0090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BodyText3">
    <w:name w:val="Body Text 3"/>
    <w:basedOn w:val="Normal"/>
    <w:rsid w:val="0098519C"/>
    <w:pPr>
      <w:spacing w:after="120"/>
    </w:pPr>
    <w:rPr>
      <w:sz w:val="16"/>
      <w:szCs w:val="16"/>
    </w:rPr>
  </w:style>
  <w:style w:type="paragraph" w:styleId="NormalWeb">
    <w:name w:val="Normal (Web)"/>
    <w:basedOn w:val="Normal"/>
    <w:rsid w:val="00F10075"/>
    <w:pPr>
      <w:spacing w:before="100" w:beforeAutospacing="1" w:after="100" w:afterAutospacing="1"/>
    </w:pPr>
  </w:style>
  <w:style w:type="character" w:customStyle="1" w:styleId="a">
    <w:name w:val="Цветовое выделение"/>
    <w:rsid w:val="006E6304"/>
    <w:rPr>
      <w:b/>
      <w:color w:val="000080"/>
    </w:rPr>
  </w:style>
  <w:style w:type="character" w:customStyle="1" w:styleId="a0">
    <w:name w:val="Гипертекстовая ссылка"/>
    <w:rsid w:val="006E6304"/>
    <w:rPr>
      <w:rFonts w:cs="Times New Roman"/>
      <w:b/>
      <w:color w:val="008000"/>
    </w:rPr>
  </w:style>
  <w:style w:type="paragraph" w:customStyle="1" w:styleId="a1">
    <w:name w:val="Нормальный (таблица)"/>
    <w:basedOn w:val="Normal"/>
    <w:next w:val="Normal"/>
    <w:rsid w:val="006E630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2">
    <w:name w:val="Прижатый влево"/>
    <w:basedOn w:val="Normal"/>
    <w:next w:val="Normal"/>
    <w:rsid w:val="006E6304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Title">
    <w:name w:val="ConsPlusTitle"/>
    <w:rsid w:val="006E630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6E6304"/>
    <w:pPr>
      <w:widowControl w:val="0"/>
      <w:snapToGrid w:val="0"/>
      <w:ind w:firstLine="720"/>
    </w:pPr>
    <w:rPr>
      <w:rFonts w:ascii="Arial" w:hAnsi="Arial"/>
    </w:rPr>
  </w:style>
  <w:style w:type="paragraph" w:customStyle="1" w:styleId="ConsCell">
    <w:name w:val="ConsCell"/>
    <w:rsid w:val="00D42A5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Cell">
    <w:name w:val="ConsPlusCell"/>
    <w:rsid w:val="003B51C6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PageNumber">
    <w:name w:val="page number"/>
    <w:basedOn w:val="DefaultParagraphFont"/>
    <w:rsid w:val="00F92A92"/>
  </w:style>
  <w:style w:type="table" w:styleId="TableGrid">
    <w:name w:val="Table Grid"/>
    <w:basedOn w:val="TableNormal"/>
    <w:rsid w:val="00EF41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D33CC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8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24</Pages>
  <Words>4752</Words>
  <Characters>31915</Characters>
  <Application>Microsoft Office Word</Application>
  <DocSecurity>0</DocSecurity>
  <Lines>265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О единовременном</vt:lpstr>
      <vt:lpstr>О единовременном</vt:lpstr>
    </vt:vector>
  </TitlesOfParts>
  <Company/>
  <LinksUpToDate>false</LinksUpToDate>
  <CharactersWithSpaces>36594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единовременном</dc:title>
  <dc:subject/>
  <dc:creator>karimova</dc:creator>
  <cp:keywords/>
  <dc:description/>
  <cp:lastModifiedBy>Сергей Медведев</cp:lastModifiedBy>
  <cp:revision>8</cp:revision>
  <cp:lastPrinted>2020-10-23T07:17:00Z</cp:lastPrinted>
  <dcterms:created xsi:type="dcterms:W3CDTF">2019-09-05T05:50:00Z</dcterms:created>
  <dcterms:modified xsi:type="dcterms:W3CDTF">2020-10-23T07:17:00Z</dcterms:modified>
</cp:coreProperties>
</file>